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51" w:rsidRPr="00F37425" w:rsidRDefault="00F37425" w:rsidP="00C37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25">
        <w:rPr>
          <w:rFonts w:ascii="Times New Roman" w:hAnsi="Times New Roman" w:cs="Times New Roman"/>
          <w:b/>
          <w:sz w:val="28"/>
          <w:szCs w:val="28"/>
        </w:rPr>
        <w:t>Обстановка с пожарами</w:t>
      </w:r>
    </w:p>
    <w:p w:rsidR="00F37425" w:rsidRDefault="00F37425" w:rsidP="002B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E12" w:rsidRPr="002B2E12" w:rsidRDefault="002B2E12" w:rsidP="002B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12">
        <w:rPr>
          <w:rFonts w:ascii="Times New Roman" w:hAnsi="Times New Roman" w:cs="Times New Roman"/>
          <w:sz w:val="28"/>
          <w:szCs w:val="28"/>
        </w:rPr>
        <w:t xml:space="preserve">По итогам февраля 2018 обстановка с пожарами в </w:t>
      </w:r>
      <w:proofErr w:type="gramStart"/>
      <w:r w:rsidRPr="002B2E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2E12">
        <w:rPr>
          <w:rFonts w:ascii="Times New Roman" w:hAnsi="Times New Roman" w:cs="Times New Roman"/>
          <w:sz w:val="28"/>
          <w:szCs w:val="28"/>
        </w:rPr>
        <w:t>. Челябинске по сравнению с аналогичным периодом прошлого года (АППГ) характеризуется следующими основными показателями:</w:t>
      </w:r>
    </w:p>
    <w:p w:rsidR="002B2E12" w:rsidRPr="002B2E12" w:rsidRDefault="002B2E12" w:rsidP="002B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12">
        <w:rPr>
          <w:rFonts w:ascii="Times New Roman" w:hAnsi="Times New Roman" w:cs="Times New Roman"/>
          <w:sz w:val="28"/>
          <w:szCs w:val="28"/>
        </w:rPr>
        <w:tab/>
        <w:t xml:space="preserve">- зарегистрировано 137 пожаров (+4,5% к АППГ - 131); </w:t>
      </w:r>
    </w:p>
    <w:p w:rsidR="002B2E12" w:rsidRPr="002B2E12" w:rsidRDefault="002B2E12" w:rsidP="002B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12">
        <w:rPr>
          <w:rFonts w:ascii="Times New Roman" w:hAnsi="Times New Roman" w:cs="Times New Roman"/>
          <w:sz w:val="28"/>
          <w:szCs w:val="28"/>
        </w:rPr>
        <w:tab/>
        <w:t xml:space="preserve">- погибло при пожарах 4 человека (-42% к АППГ - 7); </w:t>
      </w:r>
    </w:p>
    <w:p w:rsidR="002B2E12" w:rsidRPr="002B2E12" w:rsidRDefault="002B2E12" w:rsidP="002B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12">
        <w:rPr>
          <w:rFonts w:ascii="Times New Roman" w:hAnsi="Times New Roman" w:cs="Times New Roman"/>
          <w:sz w:val="28"/>
          <w:szCs w:val="28"/>
        </w:rPr>
        <w:tab/>
        <w:t xml:space="preserve">- получили травмы на пожарах 14 человек (-12,5% к АППГ - 16); </w:t>
      </w:r>
    </w:p>
    <w:p w:rsidR="002B2E12" w:rsidRPr="002B2E12" w:rsidRDefault="002B2E12" w:rsidP="002B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12">
        <w:rPr>
          <w:rFonts w:ascii="Times New Roman" w:hAnsi="Times New Roman" w:cs="Times New Roman"/>
          <w:sz w:val="28"/>
          <w:szCs w:val="28"/>
        </w:rPr>
        <w:tab/>
        <w:t>- прямой материальный ущерб причинен в размере 52088 тыс. рублей</w:t>
      </w:r>
      <w:r w:rsidRPr="002B2E12">
        <w:rPr>
          <w:rFonts w:ascii="Times New Roman" w:hAnsi="Times New Roman" w:cs="Times New Roman"/>
          <w:sz w:val="28"/>
          <w:szCs w:val="28"/>
        </w:rPr>
        <w:br/>
        <w:t>(-28% к АППГ -72430 тыс</w:t>
      </w:r>
      <w:proofErr w:type="gramStart"/>
      <w:r w:rsidRPr="002B2E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2E12">
        <w:rPr>
          <w:rFonts w:ascii="Times New Roman" w:hAnsi="Times New Roman" w:cs="Times New Roman"/>
          <w:sz w:val="28"/>
          <w:szCs w:val="28"/>
        </w:rPr>
        <w:t xml:space="preserve">уб.); </w:t>
      </w:r>
    </w:p>
    <w:p w:rsidR="002B2E12" w:rsidRPr="002B2E12" w:rsidRDefault="002B2E12" w:rsidP="002B2E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E12">
        <w:rPr>
          <w:rFonts w:ascii="Times New Roman" w:hAnsi="Times New Roman" w:cs="Times New Roman"/>
          <w:sz w:val="28"/>
          <w:szCs w:val="28"/>
        </w:rPr>
        <w:t>- зарегистрировано 936 выездов пожарных подразделений на ликвидацию загораний  (+17,4% к АППГ - 797).</w:t>
      </w:r>
    </w:p>
    <w:p w:rsidR="002B2E12" w:rsidRPr="002B2E12" w:rsidRDefault="002B2E12" w:rsidP="002B2E12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B2E12" w:rsidRPr="002B2E12" w:rsidRDefault="002B2E12" w:rsidP="002B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12">
        <w:rPr>
          <w:rFonts w:ascii="Times New Roman" w:hAnsi="Times New Roman" w:cs="Times New Roman"/>
          <w:b/>
          <w:sz w:val="28"/>
          <w:szCs w:val="28"/>
        </w:rPr>
        <w:t>Количество пожаров и их последствий в Челябинской области</w:t>
      </w:r>
    </w:p>
    <w:p w:rsidR="002B2E12" w:rsidRPr="002B2E12" w:rsidRDefault="002B2E12" w:rsidP="002B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12">
        <w:rPr>
          <w:rFonts w:ascii="Times New Roman" w:hAnsi="Times New Roman" w:cs="Times New Roman"/>
          <w:b/>
          <w:sz w:val="28"/>
          <w:szCs w:val="28"/>
        </w:rPr>
        <w:t xml:space="preserve">за февраль 2018 </w:t>
      </w:r>
    </w:p>
    <w:p w:rsidR="002B2E12" w:rsidRPr="002B2E12" w:rsidRDefault="002B2E12" w:rsidP="002B2E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2B2E1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92190" cy="2456180"/>
            <wp:effectExtent l="19050" t="0" r="22860" b="127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B2E12" w:rsidRPr="002B2E12" w:rsidRDefault="002B2E12" w:rsidP="002B2E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B2E12" w:rsidRPr="002B2E12" w:rsidRDefault="002B2E12" w:rsidP="002B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12">
        <w:rPr>
          <w:rFonts w:ascii="Times New Roman" w:hAnsi="Times New Roman" w:cs="Times New Roman"/>
          <w:sz w:val="28"/>
          <w:szCs w:val="28"/>
        </w:rPr>
        <w:t>Ежедневно в Челябинске в среднем происходит 2,5 пожара.</w:t>
      </w:r>
    </w:p>
    <w:p w:rsidR="002B2E12" w:rsidRPr="002B2E12" w:rsidRDefault="002B2E12" w:rsidP="002B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E12" w:rsidRPr="002B2E12" w:rsidRDefault="002B2E12" w:rsidP="002B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E12">
        <w:rPr>
          <w:rFonts w:ascii="Times New Roman" w:hAnsi="Times New Roman" w:cs="Times New Roman"/>
          <w:sz w:val="28"/>
          <w:szCs w:val="28"/>
        </w:rPr>
        <w:t xml:space="preserve">    </w:t>
      </w:r>
      <w:r w:rsidRPr="002B2E12">
        <w:rPr>
          <w:rFonts w:ascii="Times New Roman" w:hAnsi="Times New Roman" w:cs="Times New Roman"/>
          <w:b/>
          <w:sz w:val="28"/>
          <w:szCs w:val="28"/>
        </w:rPr>
        <w:t>Количество пожаров по административным территориям г</w:t>
      </w:r>
      <w:proofErr w:type="gramStart"/>
      <w:r w:rsidRPr="002B2E12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2B2E12">
        <w:rPr>
          <w:rFonts w:ascii="Times New Roman" w:hAnsi="Times New Roman" w:cs="Times New Roman"/>
          <w:b/>
          <w:sz w:val="28"/>
          <w:szCs w:val="28"/>
        </w:rPr>
        <w:t>елябинска</w:t>
      </w:r>
    </w:p>
    <w:p w:rsidR="002B2E12" w:rsidRPr="002B2E12" w:rsidRDefault="002B2E12" w:rsidP="002B2E12">
      <w:pPr>
        <w:pStyle w:val="a7"/>
        <w:tabs>
          <w:tab w:val="left" w:pos="1005"/>
        </w:tabs>
        <w:jc w:val="both"/>
        <w:rPr>
          <w:b w:val="0"/>
          <w:szCs w:val="28"/>
        </w:rPr>
      </w:pPr>
      <w:r w:rsidRPr="002B2E12">
        <w:rPr>
          <w:noProof/>
          <w:szCs w:val="28"/>
        </w:rPr>
        <w:drawing>
          <wp:inline distT="0" distB="0" distL="0" distR="0">
            <wp:extent cx="5986145" cy="2519680"/>
            <wp:effectExtent l="19050" t="0" r="1460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2B2E12">
        <w:rPr>
          <w:b w:val="0"/>
          <w:szCs w:val="28"/>
        </w:rPr>
        <w:tab/>
      </w:r>
    </w:p>
    <w:p w:rsidR="002B2E12" w:rsidRPr="002B2E12" w:rsidRDefault="002B2E12" w:rsidP="002B2E12">
      <w:pPr>
        <w:pStyle w:val="a7"/>
        <w:tabs>
          <w:tab w:val="left" w:pos="1005"/>
        </w:tabs>
        <w:jc w:val="both"/>
        <w:rPr>
          <w:b w:val="0"/>
          <w:iCs w:val="0"/>
          <w:spacing w:val="0"/>
          <w:szCs w:val="28"/>
          <w:highlight w:val="yellow"/>
        </w:rPr>
      </w:pPr>
      <w:r w:rsidRPr="002B2E12">
        <w:rPr>
          <w:b w:val="0"/>
          <w:szCs w:val="28"/>
        </w:rPr>
        <w:lastRenderedPageBreak/>
        <w:t xml:space="preserve">          Динамика снижения количества пожаров по административным территориям  г</w:t>
      </w:r>
      <w:proofErr w:type="gramStart"/>
      <w:r w:rsidRPr="002B2E12">
        <w:rPr>
          <w:b w:val="0"/>
          <w:szCs w:val="28"/>
        </w:rPr>
        <w:t>.Ч</w:t>
      </w:r>
      <w:proofErr w:type="gramEnd"/>
      <w:r w:rsidRPr="002B2E12">
        <w:rPr>
          <w:b w:val="0"/>
          <w:szCs w:val="28"/>
        </w:rPr>
        <w:t xml:space="preserve">елябинска в сравнении с АППГ наблюдается только в </w:t>
      </w:r>
      <w:proofErr w:type="spellStart"/>
      <w:r w:rsidRPr="002B2E12">
        <w:rPr>
          <w:b w:val="0"/>
          <w:szCs w:val="28"/>
        </w:rPr>
        <w:t>Тракторозаводском</w:t>
      </w:r>
      <w:proofErr w:type="spellEnd"/>
      <w:r w:rsidRPr="002B2E12">
        <w:rPr>
          <w:b w:val="0"/>
          <w:szCs w:val="28"/>
        </w:rPr>
        <w:t xml:space="preserve"> (уменьшение -26%), Калининском районах (-24%). </w:t>
      </w:r>
      <w:proofErr w:type="gramStart"/>
      <w:r w:rsidRPr="002B2E12">
        <w:rPr>
          <w:b w:val="0"/>
          <w:szCs w:val="28"/>
        </w:rPr>
        <w:t xml:space="preserve">Во всех остальных районах   количество пожаров по сравнению с прошлым годом увеличилось:  в Советском районе (+30,7%),в Центральном районе (в 2 раза), в Металлургическом (+27,7%), в Курчатовском районе (+16,6%), в Ленинском районе (+43,7%). </w:t>
      </w:r>
      <w:proofErr w:type="gramEnd"/>
    </w:p>
    <w:p w:rsidR="002B2E12" w:rsidRPr="002B2E12" w:rsidRDefault="002B2E12" w:rsidP="002B2E12">
      <w:pPr>
        <w:pStyle w:val="a7"/>
        <w:tabs>
          <w:tab w:val="left" w:pos="1005"/>
        </w:tabs>
        <w:jc w:val="both"/>
        <w:rPr>
          <w:b w:val="0"/>
          <w:iCs w:val="0"/>
          <w:spacing w:val="0"/>
          <w:szCs w:val="28"/>
          <w:highlight w:val="yellow"/>
        </w:rPr>
      </w:pPr>
    </w:p>
    <w:p w:rsidR="002B2E12" w:rsidRPr="002B2E12" w:rsidRDefault="002B2E12" w:rsidP="002B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12" w:rsidRPr="002B2E12" w:rsidRDefault="002B2E12" w:rsidP="002B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12">
        <w:rPr>
          <w:rFonts w:ascii="Times New Roman" w:hAnsi="Times New Roman" w:cs="Times New Roman"/>
          <w:b/>
          <w:sz w:val="28"/>
          <w:szCs w:val="28"/>
        </w:rPr>
        <w:t>Распределение количества пожаров в феврале 2018 года</w:t>
      </w:r>
    </w:p>
    <w:p w:rsidR="002B2E12" w:rsidRPr="002B2E12" w:rsidRDefault="002B2E12" w:rsidP="002B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12">
        <w:rPr>
          <w:rFonts w:ascii="Times New Roman" w:hAnsi="Times New Roman" w:cs="Times New Roman"/>
          <w:b/>
          <w:sz w:val="28"/>
          <w:szCs w:val="28"/>
        </w:rPr>
        <w:t xml:space="preserve"> по основным объектам</w:t>
      </w:r>
    </w:p>
    <w:p w:rsidR="002B2E12" w:rsidRPr="002B2E12" w:rsidRDefault="002B2E12" w:rsidP="002B2E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2E12" w:rsidRPr="002B2E12" w:rsidRDefault="002B2E12" w:rsidP="002B2E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6940" cy="3391535"/>
            <wp:effectExtent l="19050" t="0" r="381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2E12" w:rsidRPr="00073A92" w:rsidRDefault="002B2E12" w:rsidP="002B2E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3A92">
        <w:rPr>
          <w:rFonts w:ascii="Times New Roman" w:hAnsi="Times New Roman" w:cs="Times New Roman"/>
          <w:sz w:val="26"/>
          <w:szCs w:val="26"/>
        </w:rPr>
        <w:t xml:space="preserve">Наибольшее  количество  пожаров  за  истекший  период    2018  года:        71 - зарегистрировано в жилом секторе, что от общего числа пожаров, происшедших по </w:t>
      </w:r>
      <w:proofErr w:type="gramStart"/>
      <w:r w:rsidRPr="00073A9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73A92">
        <w:rPr>
          <w:rFonts w:ascii="Times New Roman" w:hAnsi="Times New Roman" w:cs="Times New Roman"/>
          <w:sz w:val="26"/>
          <w:szCs w:val="26"/>
        </w:rPr>
        <w:t xml:space="preserve">. Челябинске составляет 51 %. </w:t>
      </w:r>
    </w:p>
    <w:p w:rsidR="002B2E12" w:rsidRPr="00073A92" w:rsidRDefault="002B2E12" w:rsidP="002B2E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3A92">
        <w:rPr>
          <w:rFonts w:ascii="Times New Roman" w:hAnsi="Times New Roman" w:cs="Times New Roman"/>
          <w:sz w:val="26"/>
          <w:szCs w:val="26"/>
        </w:rPr>
        <w:t>В автомобилях произошло 19 возгораний, из которых 8 пожаров - по причине поджога, 11 пожаров -  по причине неисправности узлов и механизмов транспортного средства.</w:t>
      </w:r>
    </w:p>
    <w:p w:rsidR="002B2E12" w:rsidRPr="00073A92" w:rsidRDefault="002B2E12" w:rsidP="002B2E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3A92">
        <w:rPr>
          <w:rFonts w:ascii="Times New Roman" w:hAnsi="Times New Roman" w:cs="Times New Roman"/>
          <w:sz w:val="26"/>
          <w:szCs w:val="26"/>
        </w:rPr>
        <w:t>В СНТ произошло 16 пожаров (11,6 % от общего числа пожаров).</w:t>
      </w:r>
    </w:p>
    <w:p w:rsidR="002B2E12" w:rsidRPr="00073A92" w:rsidRDefault="002B2E12" w:rsidP="002B2E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3A92">
        <w:rPr>
          <w:rFonts w:ascii="Times New Roman" w:hAnsi="Times New Roman" w:cs="Times New Roman"/>
          <w:sz w:val="26"/>
          <w:szCs w:val="26"/>
        </w:rPr>
        <w:t>На объектах торговли (малый бизнес) произошло 10 пожаров (7,2 %).</w:t>
      </w:r>
    </w:p>
    <w:p w:rsidR="002B2E12" w:rsidRPr="00073A92" w:rsidRDefault="002B2E12" w:rsidP="002B2E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3A92">
        <w:rPr>
          <w:rFonts w:ascii="Times New Roman" w:hAnsi="Times New Roman" w:cs="Times New Roman"/>
          <w:sz w:val="26"/>
          <w:szCs w:val="26"/>
        </w:rPr>
        <w:t>На объектах производства произошло 6 пожара (4,3 %) из которых причинами стали аварийный режим работы электрооборудования и технический процесс.</w:t>
      </w:r>
    </w:p>
    <w:p w:rsidR="00492B3C" w:rsidRPr="00515051" w:rsidRDefault="00492B3C" w:rsidP="00492B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</w:p>
    <w:sectPr w:rsidR="00492B3C" w:rsidRPr="00515051" w:rsidSect="002B2E1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4AB"/>
    <w:rsid w:val="00073A92"/>
    <w:rsid w:val="000C7807"/>
    <w:rsid w:val="000C7843"/>
    <w:rsid w:val="000F1938"/>
    <w:rsid w:val="0014700A"/>
    <w:rsid w:val="001B3013"/>
    <w:rsid w:val="002608CE"/>
    <w:rsid w:val="00273AC3"/>
    <w:rsid w:val="002A37A3"/>
    <w:rsid w:val="002A5933"/>
    <w:rsid w:val="002B2E12"/>
    <w:rsid w:val="003255E4"/>
    <w:rsid w:val="003D31FE"/>
    <w:rsid w:val="00425DAD"/>
    <w:rsid w:val="004870CB"/>
    <w:rsid w:val="00492B3C"/>
    <w:rsid w:val="0049368C"/>
    <w:rsid w:val="004C43B4"/>
    <w:rsid w:val="004D2BEC"/>
    <w:rsid w:val="00515051"/>
    <w:rsid w:val="005E2359"/>
    <w:rsid w:val="006134C3"/>
    <w:rsid w:val="00621975"/>
    <w:rsid w:val="00671751"/>
    <w:rsid w:val="00672450"/>
    <w:rsid w:val="006E1592"/>
    <w:rsid w:val="007E648F"/>
    <w:rsid w:val="00857A81"/>
    <w:rsid w:val="00883700"/>
    <w:rsid w:val="00957B83"/>
    <w:rsid w:val="009B4EBF"/>
    <w:rsid w:val="009B51A4"/>
    <w:rsid w:val="00A0038A"/>
    <w:rsid w:val="00AA5E9F"/>
    <w:rsid w:val="00AC0F6C"/>
    <w:rsid w:val="00B005CF"/>
    <w:rsid w:val="00B62C19"/>
    <w:rsid w:val="00BE1DCA"/>
    <w:rsid w:val="00C3755A"/>
    <w:rsid w:val="00CC083B"/>
    <w:rsid w:val="00D02545"/>
    <w:rsid w:val="00D15EA3"/>
    <w:rsid w:val="00D25495"/>
    <w:rsid w:val="00D857E7"/>
    <w:rsid w:val="00E018E0"/>
    <w:rsid w:val="00E6625B"/>
    <w:rsid w:val="00F0405F"/>
    <w:rsid w:val="00F31DCD"/>
    <w:rsid w:val="00F324AB"/>
    <w:rsid w:val="00F37425"/>
    <w:rsid w:val="00F40C17"/>
    <w:rsid w:val="00F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425DAD"/>
    <w:pPr>
      <w:widowControl w:val="0"/>
      <w:autoSpaceDE w:val="0"/>
      <w:autoSpaceDN w:val="0"/>
      <w:adjustRightInd w:val="0"/>
      <w:spacing w:before="100" w:after="0" w:line="360" w:lineRule="auto"/>
      <w:ind w:firstLine="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25D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42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7A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2B3C"/>
    <w:pPr>
      <w:spacing w:after="0" w:line="240" w:lineRule="auto"/>
    </w:pPr>
  </w:style>
  <w:style w:type="paragraph" w:styleId="a7">
    <w:name w:val="Title"/>
    <w:basedOn w:val="a"/>
    <w:link w:val="a8"/>
    <w:qFormat/>
    <w:rsid w:val="002B2E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Cs/>
      <w:spacing w:val="-2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B2E12"/>
    <w:rPr>
      <w:rFonts w:ascii="Times New Roman" w:eastAsia="Times New Roman" w:hAnsi="Times New Roman" w:cs="Times New Roman"/>
      <w:b/>
      <w:iCs/>
      <w:spacing w:val="-2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9206349206349267E-2"/>
          <c:y val="0.10483870967741946"/>
          <c:w val="0.9285714285714286"/>
          <c:h val="0.66532258064516125"/>
        </c:manualLayout>
      </c:layout>
      <c:barChart>
        <c:barDir val="col"/>
        <c:grouping val="clustered"/>
        <c:ser>
          <c:idx val="2"/>
          <c:order val="0"/>
          <c:tx>
            <c:strRef>
              <c:f>Sheet1!$A$3</c:f>
              <c:strCache>
                <c:ptCount val="1"/>
                <c:pt idx="0">
                  <c:v>1 квартал 2017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100000">
                  <a:srgbClr val="3366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3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0"/>
              <c:layout>
                <c:manualLayout>
                  <c:x val="4.3916180271087474E-3"/>
                  <c:y val="-2.276284521545259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0846362309776986E-2"/>
                  <c:y val="-2.9623063514007382E-18"/>
                </c:manualLayout>
              </c:layout>
              <c:showVal val="1"/>
            </c:dLbl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Пожары</c:v>
                </c:pt>
                <c:pt idx="1">
                  <c:v>Загорания</c:v>
                </c:pt>
                <c:pt idx="2">
                  <c:v>Гибель</c:v>
                </c:pt>
                <c:pt idx="3">
                  <c:v>в т.ч. погибло детей</c:v>
                </c:pt>
                <c:pt idx="4">
                  <c:v>Травмы</c:v>
                </c:pt>
                <c:pt idx="5">
                  <c:v>Ущерб (млн.руб.)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131</c:v>
                </c:pt>
                <c:pt idx="1">
                  <c:v>797</c:v>
                </c:pt>
                <c:pt idx="2">
                  <c:v>7</c:v>
                </c:pt>
                <c:pt idx="4">
                  <c:v>16</c:v>
                </c:pt>
                <c:pt idx="5">
                  <c:v>72430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1 квартал 2018</c:v>
                </c:pt>
              </c:strCache>
            </c:strRef>
          </c:tx>
          <c:spPr>
            <a:gradFill rotWithShape="0">
              <a:gsLst>
                <a:gs pos="0">
                  <a:srgbClr val="FF9900"/>
                </a:gs>
                <a:gs pos="100000">
                  <a:srgbClr val="FF990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92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3"/>
              <c:layout>
                <c:manualLayout>
                  <c:x val="7.0359638441068826E-3"/>
                  <c:y val="0.6935483870967748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1</a:t>
                    </a:r>
                    <a:endParaRPr lang="ru-RU"/>
                  </a:p>
                </c:rich>
              </c:tx>
              <c:dLblPos val="outEnd"/>
            </c:dLbl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3366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Пожары</c:v>
                </c:pt>
                <c:pt idx="1">
                  <c:v>Загорания</c:v>
                </c:pt>
                <c:pt idx="2">
                  <c:v>Гибель</c:v>
                </c:pt>
                <c:pt idx="3">
                  <c:v>в т.ч. погибло детей</c:v>
                </c:pt>
                <c:pt idx="4">
                  <c:v>Травмы</c:v>
                </c:pt>
                <c:pt idx="5">
                  <c:v>Ущерб (млн.руб.)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137</c:v>
                </c:pt>
                <c:pt idx="1">
                  <c:v>936</c:v>
                </c:pt>
                <c:pt idx="2">
                  <c:v>4</c:v>
                </c:pt>
                <c:pt idx="4">
                  <c:v>14</c:v>
                </c:pt>
                <c:pt idx="5">
                  <c:v>52088</c:v>
                </c:pt>
              </c:numCache>
            </c:numRef>
          </c:val>
        </c:ser>
        <c:gapWidth val="90"/>
        <c:axId val="90866432"/>
        <c:axId val="90867968"/>
      </c:barChart>
      <c:catAx>
        <c:axId val="90866432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867968"/>
        <c:crosses val="autoZero"/>
        <c:auto val="1"/>
        <c:lblAlgn val="ctr"/>
        <c:lblOffset val="100"/>
        <c:tickLblSkip val="1"/>
        <c:tickMarkSkip val="1"/>
      </c:catAx>
      <c:valAx>
        <c:axId val="90867968"/>
        <c:scaling>
          <c:logBase val="10"/>
          <c:orientation val="minMax"/>
          <c:max val="100000"/>
        </c:scaling>
        <c:axPos val="l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866432"/>
        <c:crosses val="autoZero"/>
        <c:crossBetween val="between"/>
      </c:valAx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24920634920634946"/>
          <c:y val="0.93145161290322653"/>
          <c:w val="0.63333333333333364"/>
          <c:h val="7.2580645161290328E-2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700392322604988E-2"/>
          <c:y val="8.0795974091948206E-2"/>
          <c:w val="0.96284329563812743"/>
          <c:h val="0.7007874015748040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50000">
                  <a:srgbClr val="9999FF">
                    <a:gamma/>
                    <a:tint val="50196"/>
                    <a:invGamma/>
                  </a:srgbClr>
                </a:gs>
                <a:gs pos="100000">
                  <a:srgbClr val="9999FF"/>
                </a:gs>
              </a:gsLst>
              <a:lin ang="0" scaled="1"/>
            </a:gradFill>
            <a:ln w="3172">
              <a:solidFill>
                <a:srgbClr val="000000"/>
              </a:solidFill>
              <a:prstDash val="solid"/>
            </a:ln>
          </c:spPr>
          <c:dLbls>
            <c:spPr>
              <a:noFill/>
              <a:ln w="25378">
                <a:noFill/>
              </a:ln>
            </c:spPr>
            <c:txPr>
              <a:bodyPr rot="-5400000" vert="horz"/>
              <a:lstStyle/>
              <a:p>
                <a:pPr algn="ctr">
                  <a:defRPr sz="1200" b="0" i="0" u="none" strike="noStrike" baseline="0">
                    <a:solidFill>
                      <a:srgbClr val="0000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Sheet1!$B$1:$K$1</c:f>
              <c:strCache>
                <c:ptCount val="7"/>
                <c:pt idx="0">
                  <c:v>Совет. р-н</c:v>
                </c:pt>
                <c:pt idx="1">
                  <c:v>Центр. р-н</c:v>
                </c:pt>
                <c:pt idx="2">
                  <c:v>Метал. р-н</c:v>
                </c:pt>
                <c:pt idx="3">
                  <c:v>Тракт. р-н</c:v>
                </c:pt>
                <c:pt idx="4">
                  <c:v>Курч. р-н</c:v>
                </c:pt>
                <c:pt idx="5">
                  <c:v>Калин. р-н</c:v>
                </c:pt>
                <c:pt idx="6">
                  <c:v>Лен. р-н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26</c:v>
                </c:pt>
                <c:pt idx="1">
                  <c:v>5</c:v>
                </c:pt>
                <c:pt idx="2">
                  <c:v>18</c:v>
                </c:pt>
                <c:pt idx="3">
                  <c:v>23</c:v>
                </c:pt>
                <c:pt idx="4">
                  <c:v>18</c:v>
                </c:pt>
                <c:pt idx="5">
                  <c:v>25</c:v>
                </c:pt>
                <c:pt idx="6">
                  <c:v>16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0000">
                    <a:gamma/>
                    <a:tint val="40000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72">
              <a:solidFill>
                <a:srgbClr val="000000"/>
              </a:solidFill>
              <a:prstDash val="solid"/>
            </a:ln>
          </c:spPr>
          <c:dLbls>
            <c:spPr>
              <a:noFill/>
              <a:ln w="25378">
                <a:noFill/>
              </a:ln>
            </c:spPr>
            <c:txPr>
              <a:bodyPr rot="-5400000" vert="horz"/>
              <a:lstStyle/>
              <a:p>
                <a:pPr algn="ctr">
                  <a:defRPr sz="1200" b="0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Sheet1!$B$1:$K$1</c:f>
              <c:strCache>
                <c:ptCount val="7"/>
                <c:pt idx="0">
                  <c:v>Совет. р-н</c:v>
                </c:pt>
                <c:pt idx="1">
                  <c:v>Центр. р-н</c:v>
                </c:pt>
                <c:pt idx="2">
                  <c:v>Метал. р-н</c:v>
                </c:pt>
                <c:pt idx="3">
                  <c:v>Тракт. р-н</c:v>
                </c:pt>
                <c:pt idx="4">
                  <c:v>Курч. р-н</c:v>
                </c:pt>
                <c:pt idx="5">
                  <c:v>Калин. р-н</c:v>
                </c:pt>
                <c:pt idx="6">
                  <c:v>Лен. р-н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30</c:v>
                </c:pt>
                <c:pt idx="1">
                  <c:v>9</c:v>
                </c:pt>
                <c:pt idx="2">
                  <c:v>22</c:v>
                </c:pt>
                <c:pt idx="3">
                  <c:v>15</c:v>
                </c:pt>
                <c:pt idx="4">
                  <c:v>21</c:v>
                </c:pt>
                <c:pt idx="5">
                  <c:v>18</c:v>
                </c:pt>
                <c:pt idx="6">
                  <c:v>22</c:v>
                </c:pt>
              </c:numCache>
            </c:numRef>
          </c:val>
        </c:ser>
        <c:gapWidth val="70"/>
        <c:axId val="95579520"/>
        <c:axId val="95591040"/>
      </c:barChart>
      <c:catAx>
        <c:axId val="95579520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591040"/>
        <c:crosses val="autoZero"/>
        <c:auto val="1"/>
        <c:lblAlgn val="ctr"/>
        <c:lblOffset val="100"/>
        <c:tickLblSkip val="1"/>
        <c:tickMarkSkip val="1"/>
      </c:catAx>
      <c:valAx>
        <c:axId val="95591040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579520"/>
        <c:crosses val="autoZero"/>
        <c:crossBetween val="between"/>
      </c:valAx>
      <c:spPr>
        <a:noFill/>
        <a:ln w="25378">
          <a:noFill/>
        </a:ln>
      </c:spPr>
    </c:plotArea>
    <c:legend>
      <c:legendPos val="b"/>
      <c:layout>
        <c:manualLayout>
          <c:xMode val="edge"/>
          <c:yMode val="edge"/>
          <c:x val="0.32310177705977461"/>
          <c:y val="0.93307086614173262"/>
          <c:w val="0.38933764135702803"/>
          <c:h val="7.0866141732283491E-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5"/>
      <c:rotY val="60"/>
      <c:perspective val="0"/>
    </c:view3D>
    <c:plotArea>
      <c:layout>
        <c:manualLayout>
          <c:layoutTarget val="inner"/>
          <c:xMode val="edge"/>
          <c:yMode val="edge"/>
          <c:x val="0.29500756429652042"/>
          <c:y val="0.28717948717948788"/>
          <c:w val="0.39939485627836663"/>
          <c:h val="0.466666666666667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ln w="2826">
              <a:solidFill>
                <a:srgbClr val="000000"/>
              </a:solidFill>
              <a:prstDash val="solid"/>
            </a:ln>
          </c:spPr>
          <c:explosion val="11"/>
          <c:dPt>
            <c:idx val="0"/>
            <c:spPr>
              <a:gradFill rotWithShape="0">
                <a:gsLst>
                  <a:gs pos="0">
                    <a:srgbClr val="993366">
                      <a:gamma/>
                      <a:tint val="0"/>
                      <a:invGamma/>
                    </a:srgbClr>
                  </a:gs>
                  <a:gs pos="100000">
                    <a:srgbClr val="993366"/>
                  </a:gs>
                </a:gsLst>
                <a:path path="rect">
                  <a:fillToRect l="50000" t="50000" r="50000" b="50000"/>
                </a:path>
              </a:gradFill>
              <a:ln w="282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282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99CC">
                      <a:gamma/>
                      <a:tint val="0"/>
                      <a:invGamma/>
                    </a:srgbClr>
                  </a:gs>
                  <a:gs pos="100000">
                    <a:srgbClr val="FF99CC"/>
                  </a:gs>
                </a:gsLst>
                <a:path path="rect">
                  <a:fillToRect l="50000" t="50000" r="50000" b="50000"/>
                </a:path>
              </a:gradFill>
              <a:ln w="282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0000FF">
                      <a:gamma/>
                      <a:tint val="0"/>
                      <a:invGamma/>
                    </a:srgbClr>
                  </a:gs>
                  <a:gs pos="100000">
                    <a:srgbClr val="0000FF"/>
                  </a:gs>
                </a:gsLst>
                <a:path path="rect">
                  <a:fillToRect l="50000" t="50000" r="50000" b="50000"/>
                </a:path>
              </a:gradFill>
              <a:ln w="282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8000"/>
              </a:solidFill>
              <a:ln w="282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gradFill rotWithShape="0">
                <a:gsLst>
                  <a:gs pos="0">
                    <a:srgbClr val="FF0000">
                      <a:gamma/>
                      <a:tint val="0"/>
                      <a:invGamma/>
                    </a:srgbClr>
                  </a:gs>
                  <a:gs pos="100000">
                    <a:srgbClr val="FF0000"/>
                  </a:gs>
                </a:gsLst>
                <a:path path="rect">
                  <a:fillToRect l="50000" t="50000" r="50000" b="50000"/>
                </a:path>
              </a:gradFill>
              <a:ln w="282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808080"/>
              </a:solidFill>
              <a:ln w="282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FFCC99"/>
              </a:solidFill>
              <a:ln w="282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024927324635012"/>
                  <c:y val="-0.21371225789033699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8.7679256511592252E-2"/>
                  <c:y val="-8.8165868317776092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0.11798612526881931"/>
                  <c:y val="3.6976116971163674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0.12478471357760097"/>
                  <c:y val="1.6140286375887727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-0.11905360160308077"/>
                  <c:y val="9.6534142527476274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5"/>
              <c:layout>
                <c:manualLayout>
                  <c:x val="-0.10554654684277291"/>
                  <c:y val="-9.5177665751756915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6"/>
              <c:layout>
                <c:manualLayout>
                  <c:x val="-9.6225358341730464E-3"/>
                  <c:y val="-0.10616322924348659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7"/>
              <c:layout>
                <c:manualLayout>
                  <c:xMode val="edge"/>
                  <c:yMode val="edge"/>
                  <c:x val="0.1830559757942512"/>
                  <c:y val="0.10256410256410266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8"/>
              <c:delete val="1"/>
            </c:dLbl>
            <c:numFmt formatCode="0%" sourceLinked="0"/>
            <c:spPr>
              <a:noFill/>
              <a:ln w="282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Sheet1!$B$1:$H$1</c:f>
              <c:strCache>
                <c:ptCount val="7"/>
                <c:pt idx="0">
                  <c:v>Производство</c:v>
                </c:pt>
                <c:pt idx="1">
                  <c:v>Объекты торговли</c:v>
                </c:pt>
                <c:pt idx="2">
                  <c:v>СНТ</c:v>
                </c:pt>
                <c:pt idx="3">
                  <c:v>Прочие здания</c:v>
                </c:pt>
                <c:pt idx="4">
                  <c:v>Траспорт</c:v>
                </c:pt>
                <c:pt idx="5">
                  <c:v>Общественные здания</c:v>
                </c:pt>
                <c:pt idx="6">
                  <c:v>Жилой сектор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6</c:v>
                </c:pt>
                <c:pt idx="1">
                  <c:v>10</c:v>
                </c:pt>
                <c:pt idx="2">
                  <c:v>16</c:v>
                </c:pt>
                <c:pt idx="3">
                  <c:v>14</c:v>
                </c:pt>
                <c:pt idx="4">
                  <c:v>19</c:v>
                </c:pt>
                <c:pt idx="5">
                  <c:v>1</c:v>
                </c:pt>
                <c:pt idx="6">
                  <c:v>71</c:v>
                </c:pt>
              </c:numCache>
            </c:numRef>
          </c:val>
        </c:ser>
        <c:dLbls>
          <c:showVal val="1"/>
          <c:showCatName val="1"/>
          <c:showPercent val="1"/>
        </c:dLbls>
      </c:pie3DChart>
      <c:spPr>
        <a:noFill/>
        <a:ln w="22610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53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Shestopalova</cp:lastModifiedBy>
  <cp:revision>2</cp:revision>
  <dcterms:created xsi:type="dcterms:W3CDTF">2018-03-19T05:17:00Z</dcterms:created>
  <dcterms:modified xsi:type="dcterms:W3CDTF">2018-03-19T05:17:00Z</dcterms:modified>
</cp:coreProperties>
</file>