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000000" w:rsidRDefault="00CC2B4E">
      <w:pPr>
        <w:pStyle w:val="1"/>
      </w:pPr>
      <w:r>
        <w:fldChar w:fldCharType="begin"/>
      </w:r>
      <w:r>
        <w:instrText>HYPERLINK "http://internet.garant.ru/document/redirect/72291022/0"</w:instrText>
      </w:r>
      <w:r>
        <w:fldChar w:fldCharType="separate"/>
      </w:r>
      <w:r>
        <w:rPr>
          <w:rStyle w:val="a4"/>
          <w:b w:val="0"/>
          <w:bCs w:val="0"/>
        </w:rPr>
        <w:t>Национальный стандарт РФ ГОСТ Р 22.3.13-2018 (ИСО 22324:2015) "Безопа</w:t>
      </w:r>
      <w:r>
        <w:rPr>
          <w:rStyle w:val="a4"/>
          <w:b w:val="0"/>
          <w:bCs w:val="0"/>
        </w:rPr>
        <w:t>сность в чрезвычайных ситуациях. Руководство по цветовым кодам опасности" (утв. и введен в действие приказом Федерального агентства по техническому регулированию и метрологии от 15 мая 2018 г. N 254-ст)</w:t>
      </w:r>
      <w:r>
        <w:fldChar w:fldCharType="end"/>
      </w:r>
    </w:p>
    <w:p w:rsidR="00000000" w:rsidRDefault="00CC2B4E"/>
    <w:p w:rsidR="00000000" w:rsidRDefault="00CC2B4E">
      <w:pPr>
        <w:pStyle w:val="1"/>
      </w:pPr>
      <w:r>
        <w:t>Safety in emergencies. Guidelines for color coded</w:t>
      </w:r>
      <w:r>
        <w:t xml:space="preserve"> alerts</w:t>
      </w:r>
    </w:p>
    <w:p w:rsidR="00000000" w:rsidRDefault="00CC2B4E"/>
    <w:p w:rsidR="00000000" w:rsidRDefault="00CC2B4E">
      <w:pPr>
        <w:ind w:firstLine="698"/>
        <w:jc w:val="right"/>
      </w:pPr>
      <w:r>
        <w:t xml:space="preserve">ОКС </w:t>
      </w:r>
      <w:hyperlink r:id="rId7" w:history="1">
        <w:r>
          <w:rPr>
            <w:rStyle w:val="a4"/>
          </w:rPr>
          <w:t>01.040.13</w:t>
        </w:r>
      </w:hyperlink>
      <w:r>
        <w:t xml:space="preserve">, </w:t>
      </w:r>
      <w:hyperlink r:id="rId8" w:history="1">
        <w:r>
          <w:rPr>
            <w:rStyle w:val="a4"/>
          </w:rPr>
          <w:t>13.200</w:t>
        </w:r>
      </w:hyperlink>
      <w:r>
        <w:br/>
        <w:t>Т00</w:t>
      </w:r>
    </w:p>
    <w:p w:rsidR="00000000" w:rsidRDefault="00CC2B4E"/>
    <w:p w:rsidR="00000000" w:rsidRDefault="00CC2B4E">
      <w:pPr>
        <w:ind w:firstLine="698"/>
        <w:jc w:val="right"/>
      </w:pPr>
      <w:r>
        <w:t>Дата введения - 1 июня 2018 г.</w:t>
      </w:r>
      <w:r>
        <w:br/>
        <w:t>Введен впервые</w:t>
      </w:r>
    </w:p>
    <w:p w:rsidR="00000000" w:rsidRDefault="00CC2B4E">
      <w:pPr>
        <w:pStyle w:val="a6"/>
        <w:rPr>
          <w:color w:val="000000"/>
          <w:sz w:val="16"/>
          <w:szCs w:val="16"/>
          <w:shd w:val="clear" w:color="auto" w:fill="F0F0F0"/>
        </w:rPr>
      </w:pPr>
      <w:r>
        <w:rPr>
          <w:color w:val="000000"/>
          <w:sz w:val="16"/>
          <w:szCs w:val="16"/>
          <w:shd w:val="clear" w:color="auto" w:fill="F0F0F0"/>
        </w:rPr>
        <w:t>ГАРАНТ:</w:t>
      </w:r>
    </w:p>
    <w:p w:rsidR="00000000" w:rsidRDefault="00CC2B4E">
      <w:pPr>
        <w:pStyle w:val="a6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>Вертикальные линии не приводятся</w:t>
      </w:r>
    </w:p>
    <w:p w:rsidR="00000000" w:rsidRDefault="00CC2B4E">
      <w:pPr>
        <w:pStyle w:val="a6"/>
        <w:rPr>
          <w:shd w:val="clear" w:color="auto" w:fill="F0F0F0"/>
        </w:rPr>
      </w:pPr>
      <w:r>
        <w:t xml:space="preserve"> </w:t>
      </w:r>
    </w:p>
    <w:p w:rsidR="00000000" w:rsidRDefault="00CC2B4E">
      <w:pPr>
        <w:pStyle w:val="1"/>
      </w:pPr>
      <w:bookmarkStart w:id="1" w:name="sub_98"/>
      <w:r>
        <w:t>Предисловие</w:t>
      </w:r>
    </w:p>
    <w:bookmarkEnd w:id="1"/>
    <w:p w:rsidR="00000000" w:rsidRDefault="00CC2B4E"/>
    <w:p w:rsidR="00000000" w:rsidRDefault="00CC2B4E">
      <w:r>
        <w:t>1 Подготовлен Федеральным государственным бюджетным учреждением "Всероссийский научно-исследовательский институт по проблемам гражданской обороны и чрезвычайных ситуаций МЧС России" (Федеральный ц</w:t>
      </w:r>
      <w:r>
        <w:t xml:space="preserve">ентр науки и высоких технологий) (ФГБУ ВНИИ ГОЧС (ФЦ)) на основе собственного перевода на русский язык англоязычной версии стандарта, указанного в </w:t>
      </w:r>
      <w:hyperlink w:anchor="sub_1226" w:history="1">
        <w:r>
          <w:rPr>
            <w:rStyle w:val="a4"/>
          </w:rPr>
          <w:t>пункте 4</w:t>
        </w:r>
      </w:hyperlink>
    </w:p>
    <w:p w:rsidR="00000000" w:rsidRDefault="00CC2B4E">
      <w:r>
        <w:t>2 Внесен Техническим комитетом по стандартизации ТК 071 "Гражданская оборо</w:t>
      </w:r>
      <w:r>
        <w:t>на, предупреждение и ликвидация чрезвычайных ситуаций"</w:t>
      </w:r>
    </w:p>
    <w:p w:rsidR="00000000" w:rsidRDefault="00CC2B4E">
      <w:r>
        <w:t xml:space="preserve">3 Утвержден и введен в действие </w:t>
      </w:r>
      <w:hyperlink r:id="rId9" w:history="1">
        <w:r>
          <w:rPr>
            <w:rStyle w:val="a4"/>
          </w:rPr>
          <w:t>Приказом</w:t>
        </w:r>
      </w:hyperlink>
      <w:r>
        <w:t xml:space="preserve"> Федерального агентства по техническому регулированию и метрологии от 15 мая 2018 г. N 254-с</w:t>
      </w:r>
      <w:r>
        <w:t>т</w:t>
      </w:r>
    </w:p>
    <w:p w:rsidR="00000000" w:rsidRDefault="00CC2B4E">
      <w:bookmarkStart w:id="2" w:name="sub_1226"/>
      <w:r>
        <w:t>4 Настоящий стандарт является модифицированным по отношению к международному стандарту ИСО 22324:2015 "Социетальная безопасность. Менеджмент чрезвычайных ситуаций. Руководство по цветовым кодам опасности" (ISO 22324:2015 "Societal security - Emer</w:t>
      </w:r>
      <w:r>
        <w:t xml:space="preserve">gency management - Guidelines for color coded alerts", MOD) путем внесения изменений, объяснение которых приведено в структурном элементе </w:t>
      </w:r>
      <w:hyperlink w:anchor="sub_99" w:history="1">
        <w:r>
          <w:rPr>
            <w:rStyle w:val="a4"/>
          </w:rPr>
          <w:t>"Введение</w:t>
        </w:r>
      </w:hyperlink>
      <w:r>
        <w:t>" и которые выделены вертикальной линией, расположенной на полях напротив соответству</w:t>
      </w:r>
      <w:r>
        <w:t>ющего текста, а также путем изменения структуры международного стандарта для приведения в соответствие с правилами, установленными в ГОСТ 1.5-2001 (</w:t>
      </w:r>
      <w:hyperlink r:id="rId10" w:history="1">
        <w:r>
          <w:rPr>
            <w:rStyle w:val="a4"/>
          </w:rPr>
          <w:t>подразделы 4.2</w:t>
        </w:r>
      </w:hyperlink>
      <w:r>
        <w:t xml:space="preserve"> и </w:t>
      </w:r>
      <w:hyperlink r:id="rId11" w:history="1">
        <w:r>
          <w:rPr>
            <w:rStyle w:val="a4"/>
          </w:rPr>
          <w:t>4.3</w:t>
        </w:r>
      </w:hyperlink>
      <w:r>
        <w:t>).</w:t>
      </w:r>
    </w:p>
    <w:bookmarkEnd w:id="2"/>
    <w:p w:rsidR="00000000" w:rsidRDefault="00CC2B4E">
      <w:r>
        <w:t xml:space="preserve">Сопоставление структуры настоящего стандарта со структурой примененного в нем международного стандарта приведено в дополнительном </w:t>
      </w:r>
      <w:hyperlink w:anchor="sub_1100" w:history="1">
        <w:r>
          <w:rPr>
            <w:rStyle w:val="a4"/>
          </w:rPr>
          <w:t>приложении ДА</w:t>
        </w:r>
      </w:hyperlink>
      <w:r>
        <w:t>.</w:t>
      </w:r>
    </w:p>
    <w:p w:rsidR="00000000" w:rsidRDefault="00CC2B4E">
      <w:r>
        <w:t>Наименование настоящег</w:t>
      </w:r>
      <w:r>
        <w:t>о стандарта изменено относительно наименования указанного международного стандарта для приведения в соответствие с ГОСТ Р 1.5-2012 (</w:t>
      </w:r>
      <w:hyperlink r:id="rId12" w:history="1">
        <w:r>
          <w:rPr>
            <w:rStyle w:val="a4"/>
          </w:rPr>
          <w:t>пункт 3.5</w:t>
        </w:r>
      </w:hyperlink>
      <w:r>
        <w:t>).</w:t>
      </w:r>
    </w:p>
    <w:p w:rsidR="00000000" w:rsidRDefault="00CC2B4E">
      <w:r>
        <w:t>Сведения о соответствии ссылочных национа</w:t>
      </w:r>
      <w:r>
        <w:t xml:space="preserve">льных стандартов международным стандартам, использованным в качестве ссылочных в примененном международном стандарте, приведены в дополнительном </w:t>
      </w:r>
      <w:hyperlink w:anchor="sub_1200" w:history="1">
        <w:r>
          <w:rPr>
            <w:rStyle w:val="a4"/>
          </w:rPr>
          <w:t>приложении ДБ</w:t>
        </w:r>
      </w:hyperlink>
    </w:p>
    <w:p w:rsidR="00000000" w:rsidRDefault="00CC2B4E">
      <w:r>
        <w:t>5 Введен впервые</w:t>
      </w:r>
    </w:p>
    <w:p w:rsidR="00000000" w:rsidRDefault="00CC2B4E"/>
    <w:p w:rsidR="00000000" w:rsidRDefault="00CC2B4E">
      <w:pPr>
        <w:pStyle w:val="1"/>
      </w:pPr>
      <w:bookmarkStart w:id="3" w:name="sub_99"/>
      <w:r>
        <w:t>Введение</w:t>
      </w:r>
    </w:p>
    <w:bookmarkEnd w:id="3"/>
    <w:p w:rsidR="00000000" w:rsidRDefault="00CC2B4E"/>
    <w:p w:rsidR="00000000" w:rsidRDefault="00CC2B4E">
      <w:r>
        <w:t>Цветовые коды опасности использ</w:t>
      </w:r>
      <w:r>
        <w:t xml:space="preserve">уют для информирования населения об изменениях уровня опасности, что позволит населению своевременно отреагировать соответствующим </w:t>
      </w:r>
      <w:r>
        <w:lastRenderedPageBreak/>
        <w:t>образом.</w:t>
      </w:r>
    </w:p>
    <w:p w:rsidR="00000000" w:rsidRDefault="00CC2B4E">
      <w:r>
        <w:t>Настоящий стандарт направлен на применение цветовых кодов опасности во избежание разночтений и для принятия своеврем</w:t>
      </w:r>
      <w:r>
        <w:t>енных мер по реагированию при угрозе и возникновении чрезвычайных ситуаций.</w:t>
      </w:r>
    </w:p>
    <w:p w:rsidR="00000000" w:rsidRDefault="00CC2B4E">
      <w:r>
        <w:t>В настоящий стандарт внесены следующие изменения:</w:t>
      </w:r>
    </w:p>
    <w:p w:rsidR="00000000" w:rsidRDefault="00CC2B4E">
      <w:r>
        <w:t xml:space="preserve">- количество цветовых кодов опасности сокращено с семи до пяти для однозначного понимания. В связи с этим из </w:t>
      </w:r>
      <w:hyperlink w:anchor="sub_1204" w:history="1">
        <w:r>
          <w:rPr>
            <w:rStyle w:val="a4"/>
          </w:rPr>
          <w:t>подраздела 4.1</w:t>
        </w:r>
      </w:hyperlink>
      <w:r>
        <w:t xml:space="preserve"> "Общие положения" исключено предложение об использовании черного, пурпурного, синего и серого цветов с целью упрощения и однозначности трактовки цветовых кодов опасности;</w:t>
      </w:r>
    </w:p>
    <w:p w:rsidR="00000000" w:rsidRDefault="00CC2B4E">
      <w:r>
        <w:t xml:space="preserve">- внесены соответствующие изменения в </w:t>
      </w:r>
      <w:hyperlink w:anchor="sub_1225" w:history="1">
        <w:r>
          <w:rPr>
            <w:rStyle w:val="a4"/>
          </w:rPr>
          <w:t>рису</w:t>
        </w:r>
        <w:r>
          <w:rPr>
            <w:rStyle w:val="a4"/>
          </w:rPr>
          <w:t>нок 1</w:t>
        </w:r>
      </w:hyperlink>
      <w:r>
        <w:t xml:space="preserve"> (исключена строка "7 цветов").</w:t>
      </w:r>
    </w:p>
    <w:p w:rsidR="00000000" w:rsidRDefault="00CC2B4E"/>
    <w:p w:rsidR="00000000" w:rsidRDefault="00CC2B4E">
      <w:pPr>
        <w:pStyle w:val="1"/>
      </w:pPr>
      <w:bookmarkStart w:id="4" w:name="sub_101"/>
      <w:r>
        <w:t>1 Область применения</w:t>
      </w:r>
    </w:p>
    <w:bookmarkEnd w:id="4"/>
    <w:p w:rsidR="00000000" w:rsidRDefault="00CC2B4E"/>
    <w:p w:rsidR="00000000" w:rsidRDefault="00CC2B4E">
      <w:r>
        <w:t>Настоящий стандарт содержит руководство по использованию цветовых кодов для информирования населения и служб экстренного реагирования об опасностях и для отображения уровня опасности чрезвычайных ситуаций.</w:t>
      </w:r>
    </w:p>
    <w:p w:rsidR="00000000" w:rsidRDefault="00CC2B4E">
      <w:r>
        <w:t>Настоящий стандарт распространяется на все виды оп</w:t>
      </w:r>
      <w:r>
        <w:t>асностей вне зависимости от места их возникновения.</w:t>
      </w:r>
    </w:p>
    <w:p w:rsidR="00000000" w:rsidRDefault="00CC2B4E">
      <w:r>
        <w:t>Настоящий стандарт предназначен для использования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</w:t>
      </w:r>
      <w:r>
        <w:t>ми, осуществляющими деятельность по предупреждению чрезвычайных ситуаций и информированию об угрозах природного и техногенного характера.</w:t>
      </w:r>
    </w:p>
    <w:p w:rsidR="00000000" w:rsidRDefault="00CC2B4E">
      <w:r>
        <w:t>Настоящий стандарт не распространяется на способы отображения цветовых кодов опасности, не содержит подробных эргономи</w:t>
      </w:r>
      <w:r>
        <w:t xml:space="preserve">ческих рекомендаций, относящихся к средствам отображения, а также графических символов, рассматриваемых в </w:t>
      </w:r>
      <w:hyperlink r:id="rId13" w:history="1">
        <w:r>
          <w:rPr>
            <w:rStyle w:val="a4"/>
          </w:rPr>
          <w:t>ГОСТ ISO 3864-1</w:t>
        </w:r>
      </w:hyperlink>
      <w:r>
        <w:t>.</w:t>
      </w:r>
    </w:p>
    <w:p w:rsidR="00000000" w:rsidRDefault="00CC2B4E"/>
    <w:p w:rsidR="00000000" w:rsidRDefault="00CC2B4E">
      <w:pPr>
        <w:pStyle w:val="1"/>
      </w:pPr>
      <w:bookmarkStart w:id="5" w:name="sub_102"/>
      <w:r>
        <w:t>2 Нормативные ссылки</w:t>
      </w:r>
    </w:p>
    <w:bookmarkEnd w:id="5"/>
    <w:p w:rsidR="00000000" w:rsidRDefault="00CC2B4E"/>
    <w:p w:rsidR="00000000" w:rsidRDefault="00CC2B4E">
      <w:r>
        <w:t>В настоящем стандарте испол</w:t>
      </w:r>
      <w:r>
        <w:t>ьзованы нормативные ссылки на следующие стандарты:</w:t>
      </w:r>
    </w:p>
    <w:p w:rsidR="00000000" w:rsidRDefault="00CC2B4E">
      <w:hyperlink r:id="rId14" w:history="1">
        <w:r>
          <w:rPr>
            <w:rStyle w:val="a4"/>
          </w:rPr>
          <w:t>ГОСТ ISO 3864-1</w:t>
        </w:r>
      </w:hyperlink>
      <w:r>
        <w:t xml:space="preserve"> Графические символы. Сигнальные цвета и знаки безопасности. Часть 1. Принципы проектирования знаков и сигнал</w:t>
      </w:r>
      <w:r>
        <w:t>ьной разметки</w:t>
      </w:r>
    </w:p>
    <w:p w:rsidR="00000000" w:rsidRDefault="00CC2B4E">
      <w:hyperlink r:id="rId15" w:history="1">
        <w:r>
          <w:rPr>
            <w:rStyle w:val="a4"/>
          </w:rPr>
          <w:t>ГОСТ Р 22.0.12/ИСО 22300</w:t>
        </w:r>
      </w:hyperlink>
      <w:r>
        <w:t xml:space="preserve"> Безопасность в чрезвычайных ситуациях. Международные термины и определения</w:t>
      </w:r>
    </w:p>
    <w:p w:rsidR="00000000" w:rsidRDefault="00CC2B4E"/>
    <w:p w:rsidR="00000000" w:rsidRDefault="00CC2B4E">
      <w:r>
        <w:rPr>
          <w:rStyle w:val="a3"/>
        </w:rPr>
        <w:t>Примечание</w:t>
      </w:r>
      <w:r>
        <w:t xml:space="preserve"> - При пользовании настоящим стандартом целесообразно проверит</w:t>
      </w:r>
      <w:r>
        <w:t xml:space="preserve">ь действие ссылочных стандартов в информационной системе общего пользования - на </w:t>
      </w:r>
      <w:hyperlink r:id="rId16" w:history="1">
        <w:r>
          <w:rPr>
            <w:rStyle w:val="a4"/>
          </w:rPr>
          <w:t>официальном сайте</w:t>
        </w:r>
      </w:hyperlink>
      <w:r>
        <w:t xml:space="preserve"> Федерального агентства по техническому регулированию и метрологии в сети Интернет или по</w:t>
      </w:r>
      <w:r>
        <w:t xml:space="preserve"> ежегодному информационному указателю "Национальные стандарты", который опубликован по состоянию на 1 января текущего года, и по выпускам ежемесячного информационного указателя "Национальные стандарты" за текущий год. Если заменен ссылочный стандарт, на ко</w:t>
      </w:r>
      <w:r>
        <w:t>торый дана недатированная ссылка, то рекомендуется использовать действующую версию этого стандарта с учетом всех внесенных в данную версию изменений. Если заменен ссылочный стандарт, на который дана датированная ссылка, то рекомендуется использовать версию</w:t>
      </w:r>
      <w:r>
        <w:t xml:space="preserve"> этого стандарта с указанным выше годом утверждения (принятия). Если после утверждения настоящего стандарта в ссылочный стандарт, на который дана датированная ссылка, внесено изменение, затрагивающее положение, на которое дана ссылка, то это положение реко</w:t>
      </w:r>
      <w:r>
        <w:t xml:space="preserve">мендуется применять без учета данного изменения. Если ссылочный стандарт отменен без замены, то положение, в котором дана ссылка на </w:t>
      </w:r>
      <w:r>
        <w:lastRenderedPageBreak/>
        <w:t>него, рекомендуется применять в части, не затрагивающей эту ссылку.</w:t>
      </w:r>
    </w:p>
    <w:p w:rsidR="00000000" w:rsidRDefault="00CC2B4E"/>
    <w:p w:rsidR="00000000" w:rsidRDefault="00CC2B4E">
      <w:pPr>
        <w:pStyle w:val="1"/>
      </w:pPr>
      <w:bookmarkStart w:id="6" w:name="sub_103"/>
      <w:r>
        <w:t>3 Термины и определения</w:t>
      </w:r>
    </w:p>
    <w:bookmarkEnd w:id="6"/>
    <w:p w:rsidR="00000000" w:rsidRDefault="00CC2B4E"/>
    <w:p w:rsidR="00000000" w:rsidRDefault="00CC2B4E">
      <w:r>
        <w:t>В настоящем стан</w:t>
      </w:r>
      <w:r>
        <w:t xml:space="preserve">дарте применены термины по </w:t>
      </w:r>
      <w:hyperlink r:id="rId17" w:history="1">
        <w:r>
          <w:rPr>
            <w:rStyle w:val="a4"/>
          </w:rPr>
          <w:t>ГОСТ Р 22.0.12/ИСО 22300</w:t>
        </w:r>
      </w:hyperlink>
      <w:r>
        <w:t>, а также следующие термины с соответствующими определениями:</w:t>
      </w:r>
    </w:p>
    <w:p w:rsidR="00000000" w:rsidRDefault="00CC2B4E">
      <w:bookmarkStart w:id="7" w:name="sub_1201"/>
      <w:r>
        <w:t xml:space="preserve">3.1 </w:t>
      </w:r>
      <w:r>
        <w:rPr>
          <w:rStyle w:val="a3"/>
        </w:rPr>
        <w:t>цветовая слепота</w:t>
      </w:r>
      <w:r>
        <w:t xml:space="preserve"> (colour blindness): Полная или частичная несп</w:t>
      </w:r>
      <w:r>
        <w:t>особность различать некоторые цветовые тона.</w:t>
      </w:r>
    </w:p>
    <w:p w:rsidR="00000000" w:rsidRDefault="00CC2B4E">
      <w:bookmarkStart w:id="8" w:name="sub_1202"/>
      <w:bookmarkEnd w:id="7"/>
      <w:r>
        <w:t xml:space="preserve">3.2 </w:t>
      </w:r>
      <w:r>
        <w:rPr>
          <w:rStyle w:val="a3"/>
        </w:rPr>
        <w:t>цветовой код</w:t>
      </w:r>
      <w:r>
        <w:t xml:space="preserve"> (colour-code): Набор цветов, используемых для условного представления конкретных смысловых значений.</w:t>
      </w:r>
    </w:p>
    <w:p w:rsidR="00000000" w:rsidRDefault="00CC2B4E">
      <w:bookmarkStart w:id="9" w:name="sub_1203"/>
      <w:bookmarkEnd w:id="8"/>
      <w:r>
        <w:t xml:space="preserve">3.3 </w:t>
      </w:r>
      <w:r>
        <w:rPr>
          <w:rStyle w:val="a3"/>
        </w:rPr>
        <w:t>цветовой тон</w:t>
      </w:r>
      <w:r>
        <w:t xml:space="preserve"> (hue): Свойство зрительного ощущения, в соот</w:t>
      </w:r>
      <w:r>
        <w:t>ветствии с которым область отождествляется с одним из воспринимаемых цветов: красным, желтым, зеленым, или комбинацией двух из них.</w:t>
      </w:r>
    </w:p>
    <w:bookmarkEnd w:id="9"/>
    <w:p w:rsidR="00000000" w:rsidRDefault="00CC2B4E"/>
    <w:p w:rsidR="00000000" w:rsidRDefault="00CC2B4E">
      <w:pPr>
        <w:pStyle w:val="1"/>
      </w:pPr>
      <w:bookmarkStart w:id="10" w:name="sub_104"/>
      <w:r>
        <w:t>4 Руководство по использованию цветовых кодов опасности</w:t>
      </w:r>
    </w:p>
    <w:bookmarkEnd w:id="10"/>
    <w:p w:rsidR="00000000" w:rsidRDefault="00CC2B4E"/>
    <w:p w:rsidR="00000000" w:rsidRDefault="00CC2B4E">
      <w:pPr>
        <w:pStyle w:val="1"/>
      </w:pPr>
      <w:bookmarkStart w:id="11" w:name="sub_1204"/>
      <w:r>
        <w:t>4.1 Общие положения</w:t>
      </w:r>
    </w:p>
    <w:bookmarkEnd w:id="11"/>
    <w:p w:rsidR="00000000" w:rsidRDefault="00CC2B4E"/>
    <w:p w:rsidR="00000000" w:rsidRDefault="00CC2B4E">
      <w:r>
        <w:t>Для обо</w:t>
      </w:r>
      <w:r>
        <w:t>значения уровня опасности следует использовать красный, желтый и зеленый (и промежуточные по тону) цвета.</w:t>
      </w:r>
    </w:p>
    <w:p w:rsidR="00000000" w:rsidRDefault="00CC2B4E"/>
    <w:p w:rsidR="00000000" w:rsidRDefault="00CC2B4E">
      <w:pPr>
        <w:pStyle w:val="1"/>
      </w:pPr>
      <w:bookmarkStart w:id="12" w:name="sub_1208"/>
      <w:r>
        <w:t>4.2 Цветовые коды для обозначения уровня опасности</w:t>
      </w:r>
    </w:p>
    <w:bookmarkEnd w:id="12"/>
    <w:p w:rsidR="00000000" w:rsidRDefault="00CC2B4E"/>
    <w:p w:rsidR="00000000" w:rsidRDefault="00CC2B4E">
      <w:bookmarkStart w:id="13" w:name="sub_1205"/>
      <w:r>
        <w:rPr>
          <w:rStyle w:val="a3"/>
        </w:rPr>
        <w:t>4.2.1 Общие положения</w:t>
      </w:r>
    </w:p>
    <w:bookmarkEnd w:id="13"/>
    <w:p w:rsidR="00000000" w:rsidRDefault="00CC2B4E">
      <w:r>
        <w:t>Красный цвет ассоциируется с опасностью, и его следует использовать для информирования людей, подвергающихся опасности, о необходимости немедленного принятия соответствующих мер безопасности.</w:t>
      </w:r>
    </w:p>
    <w:p w:rsidR="00000000" w:rsidRDefault="00CC2B4E">
      <w:r>
        <w:t>Желтый цвет ассоциируется с потенциальной опасностью, и его след</w:t>
      </w:r>
      <w:r>
        <w:t>ует использовать для предупреждения людей, подвергающихся опасности, о необходимости подготовиться к принятию соответствующих мер безопасности.</w:t>
      </w:r>
    </w:p>
    <w:p w:rsidR="00000000" w:rsidRDefault="00CC2B4E">
      <w:r>
        <w:t xml:space="preserve">Зеленый цвет ассоциируется с безопасностью, и его следует использовать для информирования людей, подвергающихся </w:t>
      </w:r>
      <w:r>
        <w:t>опасности, о том, что никаких мер безопасности принимать не требуется.</w:t>
      </w:r>
    </w:p>
    <w:p w:rsidR="00000000" w:rsidRDefault="00CC2B4E">
      <w:r>
        <w:t xml:space="preserve">В настоящем стандарте отсутствуют другие определения опасности, потенциальной опасности и безопасности, кроме ассоциативных значений, приведенных в </w:t>
      </w:r>
      <w:hyperlink w:anchor="sub_1224" w:history="1">
        <w:r>
          <w:rPr>
            <w:rStyle w:val="a4"/>
          </w:rPr>
          <w:t>таблице 1</w:t>
        </w:r>
      </w:hyperlink>
      <w:r>
        <w:t>.</w:t>
      </w:r>
    </w:p>
    <w:p w:rsidR="00000000" w:rsidRDefault="00CC2B4E"/>
    <w:p w:rsidR="00000000" w:rsidRDefault="00CC2B4E">
      <w:pPr>
        <w:pStyle w:val="1"/>
      </w:pPr>
      <w:bookmarkStart w:id="14" w:name="sub_1224"/>
      <w:r>
        <w:t>Таблица 1 - Цветовые коды для обозначения уровня опасности</w:t>
      </w:r>
    </w:p>
    <w:bookmarkEnd w:id="14"/>
    <w:p w:rsidR="00000000" w:rsidRDefault="00CC2B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"/>
        <w:gridCol w:w="4149"/>
        <w:gridCol w:w="4587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Цвет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Ассоциативное значение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Предлагаемое действие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</w:pPr>
            <w:r>
              <w:t>Красный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</w:pPr>
            <w:r>
              <w:t>Чрезвычайная опасность. Значительная вероятность катастрофических последствий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</w:pPr>
            <w:r>
              <w:t xml:space="preserve">Незамедлительное принятие соответствующих </w:t>
            </w:r>
            <w:r>
              <w:t>мер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</w:pPr>
            <w:r>
              <w:t>Оранжевый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</w:pPr>
            <w:r>
              <w:t>Реальная опасность. Существует возможность развития чрезвычайной ситуации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</w:pPr>
            <w:r>
              <w:t>Принятие соответствующих мер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</w:pPr>
            <w:r>
              <w:t>Желтый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</w:pPr>
            <w:r>
              <w:t xml:space="preserve">Потенциальная опасность. Возможна </w:t>
            </w:r>
            <w:r>
              <w:lastRenderedPageBreak/>
              <w:t>чрезвычайная ситуация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</w:pPr>
            <w:r>
              <w:lastRenderedPageBreak/>
              <w:t xml:space="preserve">Подготовка к принятию соответствующих </w:t>
            </w:r>
            <w:r>
              <w:lastRenderedPageBreak/>
              <w:t>мер безопасности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</w:pPr>
            <w:r>
              <w:lastRenderedPageBreak/>
              <w:t>Салатовый (желто-зеленый)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</w:pPr>
            <w:r>
              <w:t>Имеются условия для возникновения опасности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</w:pPr>
            <w:r>
              <w:t>Принять во внимание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4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</w:pPr>
            <w:r>
              <w:t>Зеленый</w:t>
            </w:r>
          </w:p>
        </w:tc>
        <w:tc>
          <w:tcPr>
            <w:tcW w:w="4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</w:pPr>
            <w:r>
              <w:t>Безопасность</w:t>
            </w:r>
          </w:p>
        </w:tc>
        <w:tc>
          <w:tcPr>
            <w:tcW w:w="4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</w:pPr>
            <w:r>
              <w:t>Принятие мер не требуется</w:t>
            </w:r>
          </w:p>
        </w:tc>
      </w:tr>
    </w:tbl>
    <w:p w:rsidR="00000000" w:rsidRDefault="00CC2B4E"/>
    <w:p w:rsidR="00000000" w:rsidRDefault="00CC2B4E">
      <w:r>
        <w:t>При классификации уровня опасности экспертам следует использовать такие категории, как опасность, потенциальная опасность и безопасность.</w:t>
      </w:r>
    </w:p>
    <w:p w:rsidR="00000000" w:rsidRDefault="00CC2B4E">
      <w:bookmarkStart w:id="15" w:name="sub_1206"/>
      <w:r>
        <w:rPr>
          <w:rStyle w:val="a3"/>
        </w:rPr>
        <w:t>4.2.2 Типовые цвета для системы цветового кодирования</w:t>
      </w:r>
    </w:p>
    <w:bookmarkEnd w:id="15"/>
    <w:p w:rsidR="00000000" w:rsidRDefault="00CC2B4E">
      <w:r>
        <w:t>Если для обозначения уровней опасности требуется</w:t>
      </w:r>
      <w:r>
        <w:t xml:space="preserve"> использование более трех цветов, то при выборе цветов и добавлении вспомогательной информации руководствуются следующим:</w:t>
      </w:r>
    </w:p>
    <w:p w:rsidR="00000000" w:rsidRDefault="00CC2B4E">
      <w:r>
        <w:t>- число уровней опасности должно быть сведено к минимуму для ограничения числа используемых цветов;</w:t>
      </w:r>
    </w:p>
    <w:p w:rsidR="00000000" w:rsidRDefault="00CC2B4E">
      <w:r>
        <w:t>- цветовые тона следует выбирать в</w:t>
      </w:r>
      <w:r>
        <w:t xml:space="preserve"> диапазоне между красной и зеленой областью спектра;</w:t>
      </w:r>
    </w:p>
    <w:p w:rsidR="00000000" w:rsidRDefault="00CC2B4E">
      <w:r>
        <w:t>- следует использовать не более пяти цветов, чтобы избежать неадекватного восприятия цветов;</w:t>
      </w:r>
    </w:p>
    <w:p w:rsidR="00000000" w:rsidRDefault="00CC2B4E">
      <w:r>
        <w:t>- следует добавлять понятную пользователю вспомогательную информацию, включая:</w:t>
      </w:r>
    </w:p>
    <w:p w:rsidR="00000000" w:rsidRDefault="00CC2B4E">
      <w:r>
        <w:t>- дополнительную информацию (на</w:t>
      </w:r>
      <w:r>
        <w:t>пример, текст, цифры, условные обозначения, размер),</w:t>
      </w:r>
    </w:p>
    <w:p w:rsidR="00000000" w:rsidRDefault="00CC2B4E">
      <w:r>
        <w:t>- позиционное кодирование.</w:t>
      </w:r>
    </w:p>
    <w:p w:rsidR="00000000" w:rsidRDefault="00CC2B4E">
      <w:r>
        <w:t xml:space="preserve">На </w:t>
      </w:r>
      <w:hyperlink w:anchor="sub_1225" w:history="1">
        <w:r>
          <w:rPr>
            <w:rStyle w:val="a4"/>
          </w:rPr>
          <w:t>рисунке 1</w:t>
        </w:r>
      </w:hyperlink>
      <w:r>
        <w:t xml:space="preserve"> показаны цвета, которые можно использовать в системах цветового кодирования. Цвета на рисунке 1 являются ориентировочными, и не следует и</w:t>
      </w:r>
      <w:r>
        <w:t>х использовать для точного подбора цвета.</w:t>
      </w:r>
    </w:p>
    <w:p w:rsidR="00000000" w:rsidRDefault="00CC2B4E">
      <w:bookmarkStart w:id="16" w:name="sub_1225"/>
    </w:p>
    <w:bookmarkEnd w:id="16"/>
    <w:p w:rsidR="00000000" w:rsidRDefault="00CC2B4E">
      <w:pPr>
        <w:ind w:firstLine="698"/>
        <w:jc w:val="center"/>
      </w:pPr>
      <w:r>
        <w:rPr>
          <w:noProof/>
        </w:rPr>
        <w:drawing>
          <wp:inline distT="0" distB="0" distL="0" distR="0">
            <wp:extent cx="5934075" cy="1428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CC2B4E"/>
    <w:p w:rsidR="00000000" w:rsidRDefault="00CC2B4E">
      <w:pPr>
        <w:ind w:firstLine="698"/>
        <w:jc w:val="center"/>
      </w:pPr>
      <w:r>
        <w:t>Рисунок 1 - Руководство по использованию основных цветов</w:t>
      </w:r>
    </w:p>
    <w:p w:rsidR="00000000" w:rsidRDefault="00CC2B4E"/>
    <w:p w:rsidR="00000000" w:rsidRDefault="00CC2B4E">
      <w:r>
        <w:t xml:space="preserve">В </w:t>
      </w:r>
      <w:hyperlink w:anchor="sub_1000" w:history="1">
        <w:r>
          <w:rPr>
            <w:rStyle w:val="a4"/>
          </w:rPr>
          <w:t>приложении А</w:t>
        </w:r>
      </w:hyperlink>
      <w:r>
        <w:t xml:space="preserve"> представлены колориметрические рекомендации по цветовым кода</w:t>
      </w:r>
      <w:r>
        <w:t>м опасности на основе систем Манселла, CMYK и RGB.</w:t>
      </w:r>
    </w:p>
    <w:p w:rsidR="00000000" w:rsidRDefault="00CC2B4E">
      <w:bookmarkStart w:id="17" w:name="sub_1207"/>
      <w:r>
        <w:rPr>
          <w:rStyle w:val="a3"/>
        </w:rPr>
        <w:t>4.2.3 Порядок расположения красного, желтого и зеленого цветов</w:t>
      </w:r>
    </w:p>
    <w:bookmarkEnd w:id="17"/>
    <w:p w:rsidR="00000000" w:rsidRDefault="00CC2B4E">
      <w:r>
        <w:t>Порядок взаиморасположения цветов может служить дополнительной подсказкой для лучшего восприятия смыслового значения сигнально</w:t>
      </w:r>
      <w:r>
        <w:t>го цвета.</w:t>
      </w:r>
    </w:p>
    <w:p w:rsidR="00000000" w:rsidRDefault="00CC2B4E">
      <w:r>
        <w:t>Существует несколько способов показа и использования участка спектра, включающего красный, желтый и зеленый цвета. Однако эти цвета всегда должны быть расположены таким образом, чтобы отображать повышение уровня опасности:</w:t>
      </w:r>
    </w:p>
    <w:p w:rsidR="00000000" w:rsidRDefault="00CC2B4E">
      <w:r>
        <w:t>- слева направо или</w:t>
      </w:r>
    </w:p>
    <w:p w:rsidR="00000000" w:rsidRDefault="00CC2B4E">
      <w:r>
        <w:t>- с</w:t>
      </w:r>
      <w:r>
        <w:t>низу вверх.</w:t>
      </w:r>
    </w:p>
    <w:p w:rsidR="00000000" w:rsidRDefault="00CC2B4E"/>
    <w:p w:rsidR="00000000" w:rsidRDefault="00CC2B4E">
      <w:pPr>
        <w:pStyle w:val="1"/>
      </w:pPr>
      <w:bookmarkStart w:id="18" w:name="sub_1212"/>
      <w:r>
        <w:t>4.3 Учет эргономических факторов и цветовой слепоты</w:t>
      </w:r>
    </w:p>
    <w:bookmarkEnd w:id="18"/>
    <w:p w:rsidR="00000000" w:rsidRDefault="00CC2B4E"/>
    <w:p w:rsidR="00000000" w:rsidRDefault="00CC2B4E">
      <w:bookmarkStart w:id="19" w:name="sub_1209"/>
      <w:r>
        <w:rPr>
          <w:rStyle w:val="a3"/>
        </w:rPr>
        <w:t>4.3.1 Общие положения</w:t>
      </w:r>
    </w:p>
    <w:bookmarkEnd w:id="19"/>
    <w:p w:rsidR="00000000" w:rsidRDefault="00CC2B4E">
      <w:r>
        <w:t>Цветовые сигналы опасности должны быть визуально заметными, поэтому следует уделять надлежащее внимание характеристикам средства отображ</w:t>
      </w:r>
      <w:r>
        <w:t>ения информации и предъявляемым к нему эргономическим требованиям.</w:t>
      </w:r>
    </w:p>
    <w:p w:rsidR="00000000" w:rsidRDefault="00CC2B4E">
      <w:r>
        <w:t>Следует помнить об ограниченной способности человека различать цвета по отдельности. Необходимо учитывать это в тех случаях, когда люди, находящиеся в опасности, судят об опасности исключит</w:t>
      </w:r>
      <w:r>
        <w:t>ельно на основании цветовых кодов опасности.</w:t>
      </w:r>
    </w:p>
    <w:p w:rsidR="00000000" w:rsidRDefault="00CC2B4E">
      <w:r>
        <w:t>Во всех случаях, когда требуется судить об опасности только по цветовым кодам опасности, следует использовать только красный, желтый и зеленый цвета.</w:t>
      </w:r>
    </w:p>
    <w:p w:rsidR="00000000" w:rsidRDefault="00CC2B4E">
      <w:r>
        <w:t xml:space="preserve">Дополнительную информацию к цвету следует предоставлять в обязательном порядке, когда среди людей, подвергающихся опасности, могут находиться лица с нарушениями цветовосприятия. Дополнительная информация должна соответствовать эргономическим рекомендациям </w:t>
      </w:r>
      <w:r>
        <w:t xml:space="preserve">для всех видов </w:t>
      </w:r>
      <w:hyperlink w:anchor="sub_1201" w:history="1">
        <w:r>
          <w:rPr>
            <w:rStyle w:val="a4"/>
          </w:rPr>
          <w:t>цветовой слепоты</w:t>
        </w:r>
      </w:hyperlink>
      <w:r>
        <w:t xml:space="preserve"> с учетом нормативных документов</w:t>
      </w:r>
      <w:hyperlink w:anchor="sub_1222" w:history="1">
        <w:r>
          <w:rPr>
            <w:rStyle w:val="a4"/>
          </w:rPr>
          <w:t>*</w:t>
        </w:r>
      </w:hyperlink>
      <w:r>
        <w:t>.</w:t>
      </w:r>
    </w:p>
    <w:p w:rsidR="00000000" w:rsidRDefault="00CC2B4E"/>
    <w:p w:rsidR="00000000" w:rsidRDefault="00CC2B4E">
      <w:r>
        <w:rPr>
          <w:rStyle w:val="a3"/>
        </w:rPr>
        <w:t>Примечание</w:t>
      </w:r>
      <w:r>
        <w:t xml:space="preserve"> - Самой распространенной формой цветовой слепоты является неспособность различать красный и зеленый цвета согласно нормативном</w:t>
      </w:r>
      <w:r>
        <w:t>у документу</w:t>
      </w:r>
      <w:hyperlink w:anchor="sub_1223" w:history="1">
        <w:r>
          <w:rPr>
            <w:rStyle w:val="a4"/>
          </w:rPr>
          <w:t>**</w:t>
        </w:r>
      </w:hyperlink>
      <w:r>
        <w:t>.</w:t>
      </w:r>
    </w:p>
    <w:p w:rsidR="00000000" w:rsidRDefault="00CC2B4E"/>
    <w:p w:rsidR="00000000" w:rsidRDefault="00CC2B4E">
      <w:pPr>
        <w:pStyle w:val="a8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000000" w:rsidRDefault="00CC2B4E">
      <w:bookmarkStart w:id="20" w:name="sub_1222"/>
      <w:r>
        <w:t xml:space="preserve">* См. </w:t>
      </w:r>
      <w:hyperlink w:anchor="sub_1216" w:history="1">
        <w:r>
          <w:rPr>
            <w:rStyle w:val="a4"/>
          </w:rPr>
          <w:t>[1]</w:t>
        </w:r>
      </w:hyperlink>
      <w:r>
        <w:t xml:space="preserve"> и </w:t>
      </w:r>
      <w:hyperlink w:anchor="sub_1217" w:history="1">
        <w:r>
          <w:rPr>
            <w:rStyle w:val="a4"/>
          </w:rPr>
          <w:t>[2]</w:t>
        </w:r>
      </w:hyperlink>
      <w:r>
        <w:t>.</w:t>
      </w:r>
    </w:p>
    <w:p w:rsidR="00000000" w:rsidRDefault="00CC2B4E">
      <w:bookmarkStart w:id="21" w:name="sub_1223"/>
      <w:bookmarkEnd w:id="20"/>
      <w:r>
        <w:t xml:space="preserve">** См. </w:t>
      </w:r>
      <w:hyperlink w:anchor="sub_1218" w:history="1">
        <w:r>
          <w:rPr>
            <w:rStyle w:val="a4"/>
          </w:rPr>
          <w:t>[3]</w:t>
        </w:r>
      </w:hyperlink>
      <w:r>
        <w:t>.</w:t>
      </w:r>
    </w:p>
    <w:bookmarkEnd w:id="21"/>
    <w:p w:rsidR="00000000" w:rsidRDefault="00CC2B4E"/>
    <w:p w:rsidR="00000000" w:rsidRDefault="00CC2B4E">
      <w:bookmarkStart w:id="22" w:name="sub_1210"/>
      <w:r>
        <w:rPr>
          <w:rStyle w:val="a3"/>
        </w:rPr>
        <w:t>4.3.2 Названия цветов</w:t>
      </w:r>
    </w:p>
    <w:bookmarkEnd w:id="22"/>
    <w:p w:rsidR="00000000" w:rsidRDefault="00CC2B4E">
      <w:r>
        <w:t>В соо</w:t>
      </w:r>
      <w:r>
        <w:t>тветствующих случаях следует использовать названия цветов в качестве дополнительного способа информирования людей, подвергающихся опасности.</w:t>
      </w:r>
    </w:p>
    <w:p w:rsidR="00000000" w:rsidRDefault="00CC2B4E"/>
    <w:p w:rsidR="00000000" w:rsidRDefault="00CC2B4E">
      <w:r>
        <w:rPr>
          <w:rStyle w:val="a3"/>
        </w:rPr>
        <w:t>Пример</w:t>
      </w:r>
      <w:r>
        <w:t xml:space="preserve"> - Можно объявить "красный уровень опасности" по системе звукового оповещения, чтобы предупредить людей, под</w:t>
      </w:r>
      <w:r>
        <w:t>вергающихся опасности.</w:t>
      </w:r>
    </w:p>
    <w:p w:rsidR="00000000" w:rsidRDefault="00CC2B4E"/>
    <w:p w:rsidR="00000000" w:rsidRDefault="00CC2B4E">
      <w:bookmarkStart w:id="23" w:name="sub_1211"/>
      <w:r>
        <w:rPr>
          <w:rStyle w:val="a3"/>
        </w:rPr>
        <w:t>4.3.3 Цвет текста</w:t>
      </w:r>
    </w:p>
    <w:bookmarkEnd w:id="23"/>
    <w:p w:rsidR="00000000" w:rsidRDefault="00CC2B4E">
      <w:r>
        <w:t>В определенных случаях следует добавлять текст для пояснения используемых цветов. Такой текст может быть расположен отдельно или поверх цветного поля. При наложении текста поверх цветового кода опас</w:t>
      </w:r>
      <w:r>
        <w:t xml:space="preserve">ности рекомендуется использовать цвета, приведенные в </w:t>
      </w:r>
      <w:hyperlink w:anchor="sub_1221" w:history="1">
        <w:r>
          <w:rPr>
            <w:rStyle w:val="a4"/>
          </w:rPr>
          <w:t>таблице 2</w:t>
        </w:r>
      </w:hyperlink>
      <w:r>
        <w:t>, для обеспечения достаточной контрастности.</w:t>
      </w:r>
    </w:p>
    <w:p w:rsidR="00000000" w:rsidRDefault="00CC2B4E">
      <w:r>
        <w:t>При выборе подходящего шрифта следует учитывать эргономические требования.</w:t>
      </w:r>
    </w:p>
    <w:p w:rsidR="00000000" w:rsidRDefault="00CC2B4E"/>
    <w:p w:rsidR="00000000" w:rsidRDefault="00CC2B4E">
      <w:r>
        <w:rPr>
          <w:rStyle w:val="a3"/>
        </w:rPr>
        <w:t>Примечание</w:t>
      </w:r>
      <w:r>
        <w:t xml:space="preserve"> - От выбора шрифта в значительной с</w:t>
      </w:r>
      <w:r>
        <w:t>тепени зависит удобочитаемость текста. При выборе шрифта следует учитывать, среди прочего, такие условия, как расстояние рассматривания, условия освещенности и цветовые контрасты.</w:t>
      </w:r>
    </w:p>
    <w:p w:rsidR="00000000" w:rsidRDefault="00CC2B4E"/>
    <w:p w:rsidR="00000000" w:rsidRDefault="00CC2B4E">
      <w:pPr>
        <w:pStyle w:val="1"/>
      </w:pPr>
      <w:bookmarkStart w:id="24" w:name="sub_1221"/>
      <w:r>
        <w:t>Таблица 2 - Рекомендуемые цвета для накладываемого текста</w:t>
      </w:r>
    </w:p>
    <w:bookmarkEnd w:id="24"/>
    <w:p w:rsidR="00000000" w:rsidRDefault="00CC2B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22"/>
        <w:gridCol w:w="59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hyperlink w:anchor="sub_1202" w:history="1">
              <w:r>
                <w:rPr>
                  <w:rStyle w:val="a4"/>
                </w:rPr>
                <w:t>Цветовой код</w:t>
              </w:r>
            </w:hyperlink>
            <w:r>
              <w:t xml:space="preserve"> опасности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Цвет текста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Красный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Белый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Желтый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Черный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2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Зеленый</w:t>
            </w:r>
          </w:p>
        </w:tc>
        <w:tc>
          <w:tcPr>
            <w:tcW w:w="5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Белый</w:t>
            </w:r>
          </w:p>
        </w:tc>
      </w:tr>
    </w:tbl>
    <w:p w:rsidR="00000000" w:rsidRDefault="00CC2B4E"/>
    <w:p w:rsidR="00000000" w:rsidRDefault="00CC2B4E">
      <w:pPr>
        <w:jc w:val="right"/>
        <w:rPr>
          <w:rStyle w:val="a3"/>
          <w:rFonts w:ascii="Arial" w:hAnsi="Arial" w:cs="Arial"/>
        </w:rPr>
      </w:pPr>
      <w:bookmarkStart w:id="25" w:name="sub_1000"/>
      <w:r>
        <w:rPr>
          <w:rStyle w:val="a3"/>
          <w:rFonts w:ascii="Arial" w:hAnsi="Arial" w:cs="Arial"/>
        </w:rPr>
        <w:t>Приложение А</w:t>
      </w:r>
      <w:r>
        <w:rPr>
          <w:rStyle w:val="a3"/>
          <w:rFonts w:ascii="Arial" w:hAnsi="Arial" w:cs="Arial"/>
        </w:rPr>
        <w:br/>
        <w:t>(справочное)</w:t>
      </w:r>
    </w:p>
    <w:bookmarkEnd w:id="25"/>
    <w:p w:rsidR="00000000" w:rsidRDefault="00CC2B4E"/>
    <w:p w:rsidR="00000000" w:rsidRDefault="00CC2B4E">
      <w:pPr>
        <w:pStyle w:val="1"/>
      </w:pPr>
      <w:r>
        <w:t>Рекомендации по выбору цветов</w:t>
      </w:r>
    </w:p>
    <w:p w:rsidR="00000000" w:rsidRDefault="00CC2B4E"/>
    <w:p w:rsidR="00000000" w:rsidRDefault="00CC2B4E">
      <w:r>
        <w:t xml:space="preserve">Колориметрические рекомендации по выбору соответствующих цветовых тонов для обозначения уровней опасности представлены в </w:t>
      </w:r>
      <w:hyperlink w:anchor="sub_1220" w:history="1">
        <w:r>
          <w:rPr>
            <w:rStyle w:val="a4"/>
          </w:rPr>
          <w:t>таблице А.1</w:t>
        </w:r>
      </w:hyperlink>
      <w:r>
        <w:t>.</w:t>
      </w:r>
    </w:p>
    <w:p w:rsidR="00000000" w:rsidRDefault="00CC2B4E"/>
    <w:p w:rsidR="00000000" w:rsidRDefault="00CC2B4E">
      <w:pPr>
        <w:pStyle w:val="1"/>
      </w:pPr>
      <w:bookmarkStart w:id="26" w:name="sub_1220"/>
      <w:r>
        <w:t>Таблица А.1 - Рекомендации по цветовым кодам опасности в трех различных цветовых моделя</w:t>
      </w:r>
      <w:r>
        <w:t>х</w:t>
      </w:r>
    </w:p>
    <w:bookmarkEnd w:id="26"/>
    <w:p w:rsidR="00000000" w:rsidRDefault="00CC2B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0"/>
        <w:gridCol w:w="2660"/>
        <w:gridCol w:w="2660"/>
        <w:gridCol w:w="22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Цвет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Система Манселла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CMYK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RGB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</w:pPr>
            <w:r>
              <w:t>Красный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7.5 R 4/15</w:t>
            </w:r>
            <w:hyperlink w:anchor="sub_121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C26+M100+Y89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199/22/30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</w:pPr>
            <w:r>
              <w:t>Оранжевый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2.5YR 6/14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C0+M49+Y100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240/140/17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</w:pPr>
            <w:r>
              <w:t>Желтый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2.5Y 8/14</w:t>
            </w:r>
            <w:hyperlink w:anchor="sub_121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C8+M18+Y92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244/207/0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</w:pPr>
            <w:r>
              <w:t>Салатовый (желто-зеленый)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10GY 8/8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C40+M0+Y46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174/235/167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26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</w:pPr>
            <w:r>
              <w:t>Зеленый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2.5G 4/10</w:t>
            </w:r>
            <w:hyperlink w:anchor="sub_1219" w:history="1">
              <w:r>
                <w:rPr>
                  <w:rStyle w:val="a4"/>
                </w:rPr>
                <w:t>*</w:t>
              </w:r>
            </w:hyperlink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C86+M43+Y100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0/160/60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</w:pPr>
            <w:bookmarkStart w:id="27" w:name="sub_1219"/>
            <w:r>
              <w:t>* Согласно приложению Е нормативного документа</w:t>
            </w:r>
            <w:hyperlink w:anchor="sub_1213" w:history="1">
              <w:r>
                <w:rPr>
                  <w:rStyle w:val="a4"/>
                </w:rPr>
                <w:t>*</w:t>
              </w:r>
            </w:hyperlink>
            <w:r>
              <w:t>.</w:t>
            </w:r>
            <w:bookmarkEnd w:id="27"/>
          </w:p>
        </w:tc>
      </w:tr>
    </w:tbl>
    <w:p w:rsidR="00000000" w:rsidRDefault="00CC2B4E"/>
    <w:p w:rsidR="00000000" w:rsidRDefault="00CC2B4E">
      <w:bookmarkStart w:id="28" w:name="sub_1213"/>
      <w:r>
        <w:t xml:space="preserve">* См. </w:t>
      </w:r>
      <w:hyperlink w:anchor="sub_1214" w:history="1">
        <w:r>
          <w:rPr>
            <w:rStyle w:val="a4"/>
          </w:rPr>
          <w:t>[4]</w:t>
        </w:r>
      </w:hyperlink>
      <w:r>
        <w:t>.</w:t>
      </w:r>
    </w:p>
    <w:bookmarkEnd w:id="28"/>
    <w:p w:rsidR="00000000" w:rsidRDefault="00CC2B4E"/>
    <w:p w:rsidR="00000000" w:rsidRDefault="00CC2B4E">
      <w:pPr>
        <w:jc w:val="right"/>
        <w:rPr>
          <w:rStyle w:val="a3"/>
          <w:rFonts w:ascii="Arial" w:hAnsi="Arial" w:cs="Arial"/>
        </w:rPr>
      </w:pPr>
      <w:bookmarkStart w:id="29" w:name="sub_1100"/>
      <w:r>
        <w:rPr>
          <w:rStyle w:val="a3"/>
          <w:rFonts w:ascii="Arial" w:hAnsi="Arial" w:cs="Arial"/>
        </w:rPr>
        <w:t>Приложение ДА</w:t>
      </w:r>
      <w:r>
        <w:rPr>
          <w:rStyle w:val="a3"/>
          <w:rFonts w:ascii="Arial" w:hAnsi="Arial" w:cs="Arial"/>
        </w:rPr>
        <w:br/>
        <w:t>(справочное)</w:t>
      </w:r>
    </w:p>
    <w:bookmarkEnd w:id="29"/>
    <w:p w:rsidR="00000000" w:rsidRDefault="00CC2B4E"/>
    <w:p w:rsidR="00000000" w:rsidRDefault="00CC2B4E">
      <w:pPr>
        <w:pStyle w:val="1"/>
      </w:pPr>
      <w:r>
        <w:t>Сопоставление структуры настоящего стандарта со структурой примененного в нем международного стандарта</w:t>
      </w:r>
    </w:p>
    <w:p w:rsidR="00000000" w:rsidRDefault="00CC2B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6"/>
        <w:gridCol w:w="4133"/>
        <w:gridCol w:w="1923"/>
        <w:gridCol w:w="222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Структура настоящего стандарта</w:t>
            </w:r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Структура международного стандарта ИСО 22324:2015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Раздел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Подраздел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Раздел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Подраздел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hyperlink w:anchor="sub_104" w:history="1">
              <w:r>
                <w:rPr>
                  <w:rStyle w:val="a4"/>
                </w:rPr>
                <w:t>4</w:t>
              </w:r>
            </w:hyperlink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hyperlink w:anchor="sub_1204" w:history="1">
              <w:r>
                <w:rPr>
                  <w:rStyle w:val="a4"/>
                </w:rPr>
                <w:t>4.1</w:t>
              </w:r>
            </w:hyperlink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C2B4E">
            <w:pPr>
              <w:pStyle w:val="a7"/>
              <w:jc w:val="center"/>
            </w:pPr>
            <w:r>
              <w:t>4.1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C2B4E">
            <w:pPr>
              <w:pStyle w:val="a7"/>
            </w:pP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hyperlink w:anchor="sub_1208" w:history="1">
              <w:r>
                <w:rPr>
                  <w:rStyle w:val="a4"/>
                </w:rPr>
                <w:t>4.2</w:t>
              </w:r>
            </w:hyperlink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2B4E">
            <w:pPr>
              <w:pStyle w:val="a7"/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C2B4E">
            <w:pPr>
              <w:pStyle w:val="a7"/>
              <w:jc w:val="center"/>
            </w:pPr>
            <w:r>
              <w:t>4.2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nil"/>
              <w:bottom w:val="nil"/>
              <w:right w:val="single" w:sz="4" w:space="0" w:color="auto"/>
            </w:tcBorders>
          </w:tcPr>
          <w:p w:rsidR="00000000" w:rsidRDefault="00CC2B4E">
            <w:pPr>
              <w:pStyle w:val="a7"/>
            </w:pP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2B4E">
            <w:pPr>
              <w:pStyle w:val="a7"/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C2B4E">
            <w:pPr>
              <w:pStyle w:val="a7"/>
              <w:jc w:val="center"/>
            </w:pPr>
            <w:r>
              <w:t>4.3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6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</w:pP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hyperlink w:anchor="sub_1212" w:history="1">
              <w:r>
                <w:rPr>
                  <w:rStyle w:val="a4"/>
                </w:rPr>
                <w:t>4.3</w:t>
              </w:r>
            </w:hyperlink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4.4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</w:pPr>
            <w:r>
              <w:t>Приложения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-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2B4E">
            <w:pPr>
              <w:pStyle w:val="a7"/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00000" w:rsidRDefault="00CC2B4E">
            <w:pPr>
              <w:pStyle w:val="a7"/>
              <w:jc w:val="center"/>
            </w:pPr>
            <w:r>
              <w:t>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000000" w:rsidRDefault="00CC2B4E">
            <w:pPr>
              <w:pStyle w:val="a7"/>
            </w:pP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hyperlink w:anchor="sub_1000" w:history="1">
              <w:r>
                <w:rPr>
                  <w:rStyle w:val="a4"/>
                </w:rPr>
                <w:t>А</w:t>
              </w:r>
            </w:hyperlink>
          </w:p>
        </w:tc>
        <w:tc>
          <w:tcPr>
            <w:tcW w:w="19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2B4E">
            <w:pPr>
              <w:pStyle w:val="a7"/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C2B4E">
            <w:pPr>
              <w:pStyle w:val="a7"/>
              <w:jc w:val="center"/>
            </w:pPr>
            <w:r>
              <w:t>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</w:pP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2B4E">
            <w:pPr>
              <w:pStyle w:val="a7"/>
            </w:pPr>
            <w:hyperlink w:anchor="sub_1100" w:history="1">
              <w:r>
                <w:rPr>
                  <w:rStyle w:val="a4"/>
                </w:rPr>
                <w:t>ДА</w:t>
              </w:r>
            </w:hyperlink>
            <w:r>
              <w:t xml:space="preserve"> Сопоставление структуры настоящего стандарта со структурой примененного в нем международного стандарта</w:t>
            </w:r>
          </w:p>
        </w:tc>
        <w:tc>
          <w:tcPr>
            <w:tcW w:w="192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00000" w:rsidRDefault="00CC2B4E">
            <w:pPr>
              <w:pStyle w:val="a7"/>
            </w:pPr>
          </w:p>
        </w:tc>
        <w:tc>
          <w:tcPr>
            <w:tcW w:w="2225" w:type="dxa"/>
            <w:tcBorders>
              <w:top w:val="nil"/>
              <w:left w:val="single" w:sz="4" w:space="0" w:color="auto"/>
              <w:bottom w:val="nil"/>
            </w:tcBorders>
          </w:tcPr>
          <w:p w:rsidR="00000000" w:rsidRDefault="00CC2B4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8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</w:pPr>
          </w:p>
        </w:tc>
        <w:tc>
          <w:tcPr>
            <w:tcW w:w="4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</w:pPr>
            <w:hyperlink w:anchor="sub_1200" w:history="1">
              <w:r>
                <w:rPr>
                  <w:rStyle w:val="a4"/>
                </w:rPr>
                <w:t>ДБ</w:t>
              </w:r>
            </w:hyperlink>
            <w:r>
              <w:t xml:space="preserve"> Сведения о соответствии ссылочных национальных и межгосударственных стандартов международным стандартам, использованным в качестве ссылочных в примененном международном стандарте</w:t>
            </w:r>
          </w:p>
        </w:tc>
        <w:tc>
          <w:tcPr>
            <w:tcW w:w="19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</w:pPr>
          </w:p>
        </w:tc>
        <w:tc>
          <w:tcPr>
            <w:tcW w:w="222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-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hyperlink w:anchor="sub_100" w:history="1">
              <w:r>
                <w:rPr>
                  <w:rStyle w:val="a4"/>
                </w:rPr>
                <w:t>Библиография</w:t>
              </w:r>
            </w:hyperlink>
          </w:p>
        </w:tc>
        <w:tc>
          <w:tcPr>
            <w:tcW w:w="4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Библиография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7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</w:pPr>
            <w:r>
              <w:rPr>
                <w:rStyle w:val="a3"/>
              </w:rPr>
              <w:t>Примечание</w:t>
            </w:r>
            <w:r>
              <w:t xml:space="preserve"> - Сопоставление структуры стандартов приведено начиная с </w:t>
            </w:r>
            <w:hyperlink w:anchor="sub_104" w:history="1">
              <w:r>
                <w:rPr>
                  <w:rStyle w:val="a4"/>
                </w:rPr>
                <w:t>раздела 4</w:t>
              </w:r>
            </w:hyperlink>
            <w:r>
              <w:t>, т.к. предыдущие разделы стандартов и их иные структурные элементы (за исключением предисловия) идентичны.</w:t>
            </w:r>
          </w:p>
        </w:tc>
      </w:tr>
    </w:tbl>
    <w:p w:rsidR="00000000" w:rsidRDefault="00CC2B4E"/>
    <w:p w:rsidR="00000000" w:rsidRDefault="00CC2B4E">
      <w:pPr>
        <w:jc w:val="right"/>
        <w:rPr>
          <w:rStyle w:val="a3"/>
          <w:rFonts w:ascii="Arial" w:hAnsi="Arial" w:cs="Arial"/>
        </w:rPr>
      </w:pPr>
      <w:bookmarkStart w:id="30" w:name="sub_1200"/>
      <w:r>
        <w:rPr>
          <w:rStyle w:val="a3"/>
          <w:rFonts w:ascii="Arial" w:hAnsi="Arial" w:cs="Arial"/>
        </w:rPr>
        <w:t>Приложение ДБ</w:t>
      </w:r>
      <w:r>
        <w:rPr>
          <w:rStyle w:val="a3"/>
          <w:rFonts w:ascii="Arial" w:hAnsi="Arial" w:cs="Arial"/>
        </w:rPr>
        <w:br/>
        <w:t>(справочное)</w:t>
      </w:r>
    </w:p>
    <w:bookmarkEnd w:id="30"/>
    <w:p w:rsidR="00000000" w:rsidRDefault="00CC2B4E"/>
    <w:p w:rsidR="00000000" w:rsidRDefault="00CC2B4E">
      <w:pPr>
        <w:pStyle w:val="1"/>
      </w:pPr>
      <w:r>
        <w:t>Сведения</w:t>
      </w:r>
      <w:r>
        <w:br/>
      </w:r>
      <w:r>
        <w:t>о соответствии ссылочных национальных и межгосударственных стандартов международным стандартам, использованным в качестве ссылочных в примененном международном стандарте</w:t>
      </w:r>
    </w:p>
    <w:p w:rsidR="00000000" w:rsidRDefault="00CC2B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3"/>
        <w:gridCol w:w="2186"/>
        <w:gridCol w:w="448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Обозначение ссылочного национального, межгосударственного стандарта</w:t>
            </w:r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Степень соответст</w:t>
            </w:r>
            <w:r>
              <w:t>вия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Обозначение и наименование ссылочного международного стандарта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</w:pPr>
            <w:hyperlink r:id="rId19" w:history="1">
              <w:r>
                <w:rPr>
                  <w:rStyle w:val="a4"/>
                </w:rPr>
                <w:t>ГОСТ ISO 3864-1-2013</w:t>
              </w:r>
            </w:hyperlink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IDT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</w:pPr>
            <w:r>
              <w:t>ISO 3864-1:2011 "Графические символы. Сигнальные цвета и знаки безопасности. Часть 1. Принципы проектирования знаков и сигнальной разметки"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5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</w:pPr>
            <w:hyperlink r:id="rId20" w:history="1">
              <w:r>
                <w:rPr>
                  <w:rStyle w:val="a4"/>
                </w:rPr>
                <w:t>ГОСТ Р 22.0.12-2015/ИСО 22300:2012</w:t>
              </w:r>
            </w:hyperlink>
          </w:p>
        </w:tc>
        <w:tc>
          <w:tcPr>
            <w:tcW w:w="2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CC2B4E">
            <w:pPr>
              <w:pStyle w:val="a7"/>
              <w:jc w:val="center"/>
            </w:pPr>
            <w:r>
              <w:t>IDT</w:t>
            </w:r>
          </w:p>
        </w:tc>
        <w:tc>
          <w:tcPr>
            <w:tcW w:w="4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</w:pPr>
            <w:r>
              <w:t>ISO 223</w:t>
            </w:r>
            <w:r>
              <w:t>00:2012 "Социетальная безопасность. Терминология"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19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00000" w:rsidRDefault="00CC2B4E">
            <w:pPr>
              <w:pStyle w:val="a7"/>
            </w:pPr>
            <w:r>
              <w:rPr>
                <w:rStyle w:val="a3"/>
              </w:rPr>
              <w:t>Примечание</w:t>
            </w:r>
            <w:r>
              <w:t xml:space="preserve"> - В настоящей таблице использовано следующее условное обозначение степени соответствия стандартов:</w:t>
            </w:r>
          </w:p>
          <w:p w:rsidR="00000000" w:rsidRDefault="00CC2B4E">
            <w:pPr>
              <w:pStyle w:val="a7"/>
            </w:pPr>
            <w:r>
              <w:t>IDT - идентичные стандарты.</w:t>
            </w:r>
          </w:p>
        </w:tc>
      </w:tr>
    </w:tbl>
    <w:p w:rsidR="00000000" w:rsidRDefault="00CC2B4E"/>
    <w:p w:rsidR="00000000" w:rsidRDefault="00CC2B4E">
      <w:pPr>
        <w:pStyle w:val="1"/>
      </w:pPr>
      <w:bookmarkStart w:id="31" w:name="sub_100"/>
      <w:r>
        <w:t>Библиография</w:t>
      </w:r>
    </w:p>
    <w:bookmarkEnd w:id="31"/>
    <w:p w:rsidR="00000000" w:rsidRDefault="00CC2B4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40"/>
        <w:gridCol w:w="742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B4E">
            <w:pPr>
              <w:pStyle w:val="a7"/>
              <w:jc w:val="center"/>
            </w:pPr>
            <w:bookmarkStart w:id="32" w:name="sub_1216"/>
            <w:r>
              <w:t>[1]</w:t>
            </w:r>
            <w:bookmarkEnd w:id="32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B4E">
            <w:pPr>
              <w:pStyle w:val="a7"/>
            </w:pPr>
            <w:hyperlink r:id="rId21" w:history="1">
              <w:r>
                <w:rPr>
                  <w:rStyle w:val="a4"/>
                </w:rPr>
                <w:t>ИСО 9241-300</w:t>
              </w:r>
            </w:hyperlink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B4E">
            <w:pPr>
              <w:pStyle w:val="a7"/>
            </w:pPr>
            <w:r>
              <w:t>Эргономика взаимодействия человек-система. Часть 300. Введение в требования к электронным видеодисплеям (Ergonomics of human-system interaction - Part 300: Introduction to el</w:t>
            </w:r>
            <w:r>
              <w:t>ectronic visual display requirements)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B4E">
            <w:pPr>
              <w:pStyle w:val="a7"/>
              <w:jc w:val="center"/>
            </w:pPr>
            <w:bookmarkStart w:id="33" w:name="sub_1217"/>
            <w:r>
              <w:t>[2]</w:t>
            </w:r>
            <w:bookmarkEnd w:id="33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B4E">
            <w:pPr>
              <w:pStyle w:val="a7"/>
            </w:pPr>
            <w:r>
              <w:t>ISO/TR 22411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B4E">
            <w:pPr>
              <w:pStyle w:val="a7"/>
            </w:pPr>
            <w:r>
              <w:t>Данные и руководящие указания по эргономике при применении ИСО/МЭК Руководство 71 на изделия и услуги, направленные на удовлетворение потребностей пожилых людей и инвалидов (Ergonomics</w:t>
            </w:r>
            <w:r>
              <w:t xml:space="preserve"> data and guidelines for the application of ISO/IEC Guide 71 to products and services to address the needs of older persons and persons with disabilities)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B4E">
            <w:pPr>
              <w:pStyle w:val="a7"/>
              <w:jc w:val="center"/>
            </w:pPr>
            <w:bookmarkStart w:id="34" w:name="sub_1218"/>
            <w:r>
              <w:t>[3]</w:t>
            </w:r>
            <w:bookmarkEnd w:id="34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B4E">
            <w:pPr>
              <w:pStyle w:val="a7"/>
            </w:pPr>
            <w:r>
              <w:t>ИСО/МЭК Руководство 71:2001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B4E">
            <w:pPr>
              <w:pStyle w:val="a7"/>
            </w:pPr>
            <w:r>
              <w:t>Руководящие указания для разработчиков стандартов, направленные на удовлетворение потребностей пожилых людей и инвалидов (Guidelines for standards developers to address the needs of older persons and persons with disabilities)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B4E">
            <w:pPr>
              <w:pStyle w:val="a7"/>
              <w:jc w:val="center"/>
            </w:pPr>
            <w:bookmarkStart w:id="35" w:name="sub_1214"/>
            <w:r>
              <w:t>[4]</w:t>
            </w:r>
            <w:bookmarkEnd w:id="35"/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B4E">
            <w:pPr>
              <w:pStyle w:val="a7"/>
            </w:pPr>
            <w:r>
              <w:t>ИСО 3864</w:t>
            </w:r>
            <w:r>
              <w:t>-4</w:t>
            </w:r>
          </w:p>
        </w:tc>
        <w:tc>
          <w:tcPr>
            <w:tcW w:w="742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CC2B4E">
            <w:pPr>
              <w:pStyle w:val="a7"/>
            </w:pPr>
            <w:r>
              <w:t>Символы графические. Сигнальные цвета и знаки безопасности. Часть 4. Колориметрические и фотометрические свойства материалов для знаков безопасности (Graphical symbols - Safety colours and safety signs - Part 4: Colorimetric and photometric properties o</w:t>
            </w:r>
            <w:r>
              <w:t>f safety sign materials)</w:t>
            </w:r>
          </w:p>
        </w:tc>
      </w:tr>
    </w:tbl>
    <w:p w:rsidR="00000000" w:rsidRDefault="00CC2B4E"/>
    <w:sectPr w:rsidR="00000000">
      <w:headerReference w:type="default" r:id="rId22"/>
      <w:footerReference w:type="default" r:id="rId23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CC2B4E">
      <w:r>
        <w:separator/>
      </w:r>
    </w:p>
  </w:endnote>
  <w:endnote w:type="continuationSeparator" w:id="0">
    <w:p w:rsidR="00000000" w:rsidRDefault="00CC2B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000000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000000" w:rsidRDefault="00CC2B4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18.05.2021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C2B4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000000" w:rsidRDefault="00CC2B4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1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noProof/>
              <w:sz w:val="20"/>
              <w:szCs w:val="20"/>
            </w:rPr>
            <w:t>7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CC2B4E">
      <w:r>
        <w:separator/>
      </w:r>
    </w:p>
  </w:footnote>
  <w:footnote w:type="continuationSeparator" w:id="0">
    <w:p w:rsidR="00000000" w:rsidRDefault="00CC2B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CC2B4E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Национальный стандарт РФ ГОСТ Р 22.3.13-2018 (ИСО 22324:2015) "Безопасность в чрезвычайных ситуациях.…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B4E"/>
    <w:rsid w:val="00CC2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1E75DD0-83EF-4414-9C4B-6579FC69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83241/13200" TargetMode="External"/><Relationship Id="rId13" Type="http://schemas.openxmlformats.org/officeDocument/2006/relationships/hyperlink" Target="http://internet.garant.ru/document/redirect/71344958/0" TargetMode="External"/><Relationship Id="rId18" Type="http://schemas.openxmlformats.org/officeDocument/2006/relationships/image" Target="media/image1.png"/><Relationship Id="rId3" Type="http://schemas.openxmlformats.org/officeDocument/2006/relationships/settings" Target="settings.xml"/><Relationship Id="rId21" Type="http://schemas.openxmlformats.org/officeDocument/2006/relationships/hyperlink" Target="http://internet.garant.ru/document/redirect/71545950/0" TargetMode="External"/><Relationship Id="rId7" Type="http://schemas.openxmlformats.org/officeDocument/2006/relationships/hyperlink" Target="http://internet.garant.ru/document/redirect/183241/104013" TargetMode="External"/><Relationship Id="rId12" Type="http://schemas.openxmlformats.org/officeDocument/2006/relationships/hyperlink" Target="http://internet.garant.ru/document/redirect/70475486/335" TargetMode="External"/><Relationship Id="rId17" Type="http://schemas.openxmlformats.org/officeDocument/2006/relationships/hyperlink" Target="http://internet.garant.ru/document/redirect/71306232/0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57474707/1" TargetMode="External"/><Relationship Id="rId20" Type="http://schemas.openxmlformats.org/officeDocument/2006/relationships/hyperlink" Target="http://internet.garant.ru/document/redirect/71306232/0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/redirect/12131644/43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1306232/0" TargetMode="External"/><Relationship Id="rId23" Type="http://schemas.openxmlformats.org/officeDocument/2006/relationships/footer" Target="footer1.xml"/><Relationship Id="rId10" Type="http://schemas.openxmlformats.org/officeDocument/2006/relationships/hyperlink" Target="http://internet.garant.ru/document/redirect/12131644/42" TargetMode="External"/><Relationship Id="rId19" Type="http://schemas.openxmlformats.org/officeDocument/2006/relationships/hyperlink" Target="http://internet.garant.ru/document/redirect/71344958/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/redirect/71957838/0" TargetMode="External"/><Relationship Id="rId14" Type="http://schemas.openxmlformats.org/officeDocument/2006/relationships/hyperlink" Target="http://internet.garant.ru/document/redirect/71344958/0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2534</Words>
  <Characters>14447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16948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Ягафарова</cp:lastModifiedBy>
  <cp:revision>2</cp:revision>
  <dcterms:created xsi:type="dcterms:W3CDTF">2021-05-18T09:46:00Z</dcterms:created>
  <dcterms:modified xsi:type="dcterms:W3CDTF">2021-05-18T09:46:00Z</dcterms:modified>
</cp:coreProperties>
</file>