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D8738A">
      <w:pPr>
        <w:pStyle w:val="1"/>
      </w:pPr>
      <w:r>
        <w:fldChar w:fldCharType="begin"/>
      </w:r>
      <w:r>
        <w:instrText>HYPERLINK "http://internet.garant.ru/document/redirect/74950116/0"</w:instrText>
      </w:r>
      <w:r>
        <w:fldChar w:fldCharType="separate"/>
      </w:r>
      <w:r>
        <w:rPr>
          <w:rStyle w:val="a4"/>
          <w:b w:val="0"/>
          <w:bCs w:val="0"/>
        </w:rPr>
        <w:t>Приказ МЧС России от 1 сентября 2020 г. N 631 "Об утверждении Методики оценк</w:t>
      </w:r>
      <w:r>
        <w:rPr>
          <w:rStyle w:val="a4"/>
          <w:b w:val="0"/>
          <w:bCs w:val="0"/>
        </w:rPr>
        <w:t>и ущерба от чрезвычайных ситуаций"</w:t>
      </w:r>
      <w:r>
        <w:fldChar w:fldCharType="end"/>
      </w:r>
    </w:p>
    <w:p w:rsidR="00000000" w:rsidRDefault="00D8738A"/>
    <w:p w:rsidR="00000000" w:rsidRDefault="00D8738A">
      <w:r>
        <w:t xml:space="preserve">В соответствии с </w:t>
      </w:r>
      <w:hyperlink r:id="rId7" w:history="1">
        <w:r>
          <w:rPr>
            <w:rStyle w:val="a4"/>
          </w:rPr>
          <w:t>абзацем седьмым подпункта 2 пункта 8</w:t>
        </w:r>
      </w:hyperlink>
      <w:r>
        <w:t xml:space="preserve"> Положения о Министерстве Российской Федерации по делам гражданской обороны, чрезвычайным си</w:t>
      </w:r>
      <w:r>
        <w:t xml:space="preserve">туациям и ликвидации последствий стихийных бедствий, утвержденного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июля 2004 г. N 868 (Собрание законодательства Российской Федерации, 2004, N 2</w:t>
      </w:r>
      <w:r>
        <w:t>8, ст. 2882; 2020, N 27, ст. 4185), приказываю:</w:t>
      </w:r>
    </w:p>
    <w:p w:rsidR="00000000" w:rsidRDefault="00D8738A">
      <w:bookmarkStart w:id="1" w:name="sub_2"/>
      <w:r>
        <w:t xml:space="preserve">Утвердить прилагаемую </w:t>
      </w:r>
      <w:hyperlink w:anchor="sub_1000" w:history="1">
        <w:r>
          <w:rPr>
            <w:rStyle w:val="a4"/>
          </w:rPr>
          <w:t>Методику</w:t>
        </w:r>
      </w:hyperlink>
      <w:r>
        <w:t xml:space="preserve"> оценки ущерба от чрезвычайных ситуаций.</w:t>
      </w:r>
    </w:p>
    <w:bookmarkEnd w:id="1"/>
    <w:p w:rsidR="00000000" w:rsidRDefault="00D8738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738A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738A">
            <w:pPr>
              <w:pStyle w:val="a5"/>
              <w:jc w:val="right"/>
            </w:pPr>
            <w:r>
              <w:t>Е.Н. Зиничев</w:t>
            </w:r>
          </w:p>
        </w:tc>
      </w:tr>
    </w:tbl>
    <w:p w:rsidR="00000000" w:rsidRDefault="00D8738A"/>
    <w:p w:rsidR="00000000" w:rsidRDefault="00D8738A">
      <w:pPr>
        <w:pStyle w:val="a7"/>
      </w:pPr>
      <w:r>
        <w:t>Зарегистрировано в Минюсте РФ 25 ноября 2020 г.</w:t>
      </w:r>
      <w:r>
        <w:br/>
        <w:t>Регистрационный N 61087</w:t>
      </w:r>
    </w:p>
    <w:p w:rsidR="00000000" w:rsidRDefault="00D8738A"/>
    <w:p w:rsidR="00000000" w:rsidRDefault="00D8738A">
      <w:pPr>
        <w:ind w:firstLine="698"/>
        <w:jc w:val="right"/>
      </w:pPr>
      <w:bookmarkStart w:id="2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01.09.2020 N 631</w:t>
      </w:r>
    </w:p>
    <w:bookmarkEnd w:id="2"/>
    <w:p w:rsidR="00000000" w:rsidRDefault="00D8738A"/>
    <w:p w:rsidR="00000000" w:rsidRDefault="00D8738A">
      <w:pPr>
        <w:pStyle w:val="1"/>
      </w:pPr>
      <w:r>
        <w:t xml:space="preserve">Методика </w:t>
      </w:r>
      <w:r>
        <w:br/>
        <w:t>оценки ущерба от чрезвычайных ситуаций</w:t>
      </w:r>
    </w:p>
    <w:p w:rsidR="00000000" w:rsidRDefault="00D8738A"/>
    <w:p w:rsidR="00000000" w:rsidRDefault="00D8738A">
      <w:pPr>
        <w:pStyle w:val="1"/>
      </w:pPr>
      <w:bookmarkStart w:id="3" w:name="sub_100"/>
      <w:r>
        <w:t>I. Введение</w:t>
      </w:r>
    </w:p>
    <w:bookmarkEnd w:id="3"/>
    <w:p w:rsidR="00000000" w:rsidRDefault="00D8738A"/>
    <w:p w:rsidR="00000000" w:rsidRDefault="00D8738A">
      <w:bookmarkStart w:id="4" w:name="sub_1001"/>
      <w:r>
        <w:t>1. Методика оценки ущерба от чрезвычайных ситуаций (далее - Методика) разработан</w:t>
      </w:r>
      <w:r>
        <w:t xml:space="preserve">а в соответствии с </w:t>
      </w:r>
      <w:hyperlink r:id="rId9" w:history="1">
        <w:r>
          <w:rPr>
            <w:rStyle w:val="a4"/>
          </w:rPr>
          <w:t>абзацем седьмым подпункта 2 пункта 8</w:t>
        </w:r>
      </w:hyperlink>
      <w:r>
        <w:t xml:space="preserve"> Положения о Министерстве Российской Федерации по делам гражданской обороны, чрезвычайным ситуациям и ликвидации последствий стих</w:t>
      </w:r>
      <w:r>
        <w:t xml:space="preserve">ийных бедствий, утвержденного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июля 2004 г. N 868 (Собрание законодательства Российской Федерации, 2004, N 28, ст. 2882; 2020, N 27, ст. 4185), в</w:t>
      </w:r>
      <w:r>
        <w:t xml:space="preserve"> целях выработки единого подхода для оценки ущерба от чрезвычайных ситуаций и основывается на следующих нормативных правовых актах:</w:t>
      </w:r>
    </w:p>
    <w:bookmarkEnd w:id="4"/>
    <w:p w:rsidR="00000000" w:rsidRDefault="00D8738A">
      <w:r>
        <w:fldChar w:fldCharType="begin"/>
      </w:r>
      <w:r>
        <w:instrText>HYPERLINK "http://internet.garant.ru/document/redirect/10107960/0"</w:instrText>
      </w:r>
      <w:r>
        <w:fldChar w:fldCharType="separate"/>
      </w:r>
      <w:r>
        <w:rPr>
          <w:rStyle w:val="a4"/>
        </w:rPr>
        <w:t>Федеральный закон</w:t>
      </w:r>
      <w:r>
        <w:fldChar w:fldCharType="end"/>
      </w:r>
      <w:r>
        <w:t xml:space="preserve"> от 21 декабря 1994 г. N 68-ФЗ</w:t>
      </w:r>
      <w:r>
        <w:t xml:space="preserve"> "О защите населения и территорий от чрезвычайных ситуаций природного и техногенного характера" (Собрание законодательства Российской Федерации, 1994, N 35, ст. 3648; 2020, N 26, ст. 3999);</w:t>
      </w:r>
    </w:p>
    <w:p w:rsidR="00000000" w:rsidRDefault="00D8738A">
      <w:hyperlink r:id="rId11" w:history="1">
        <w:r>
          <w:rPr>
            <w:rStyle w:val="a4"/>
          </w:rPr>
          <w:t>по</w:t>
        </w:r>
        <w:r>
          <w:rPr>
            <w:rStyle w:val="a4"/>
          </w:rPr>
          <w:t>становление</w:t>
        </w:r>
      </w:hyperlink>
      <w:r>
        <w:t xml:space="preserve"> Правительства Российской Федерации от 30 декабря 2003 г. N 794 "О единой государственной системе предупреждения и ликвидации чрезвычайных ситуаций" (Собрание законодательства Российской Федерации, 2004, N 2, ст. 121; 2020, N 15, ст. 2275);</w:t>
      </w:r>
    </w:p>
    <w:p w:rsidR="00000000" w:rsidRDefault="00D8738A"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21 мая 2007 г. N 304 "О классификации чрезвычайных ситуаций природного и техногенного характера" (Собрание законодательства Российской Ф</w:t>
      </w:r>
      <w:r>
        <w:t>едерации, 2007, N 22, ст. 2640; 2019, N 52, ст. 7981) (далее - постановление N 304);</w:t>
      </w:r>
    </w:p>
    <w:p w:rsidR="00000000" w:rsidRDefault="00D8738A"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16 октября 2019 г. N 1327 "Об утверждении Правил п</w:t>
      </w:r>
      <w:r>
        <w:t>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на финансовое обесп</w:t>
      </w:r>
      <w:r>
        <w:t xml:space="preserve">ечение реализации мер социальной поддержки граждан, жилые помещения которых утрачены и (или) повреждены в результате чрезвычайных ситуаций природного и техногенного характера" (Собрание законодательства Российской Федерации, 2019, N 42, ст. 5919; </w:t>
      </w:r>
      <w:r>
        <w:lastRenderedPageBreak/>
        <w:t>2020, N 2</w:t>
      </w:r>
      <w:r>
        <w:t>7, ст. 4210) (далее - постановление N 1327);</w:t>
      </w:r>
    </w:p>
    <w:p w:rsidR="00000000" w:rsidRDefault="00D8738A"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26 декабря 2019 г. N 1846 "Об утверждении Положения об использовании бюджетных ассигновани</w:t>
      </w:r>
      <w:r>
        <w:t>й резервного фонда Правительства Российской Федерации" (Собрание законодательства Российской Федерации, 2020, N 1, ст. 42; N 27, ст. 4210) (далее - Положение);</w:t>
      </w:r>
    </w:p>
    <w:p w:rsidR="00000000" w:rsidRDefault="00D8738A"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28 декабря 2019 г. N 1928 "Об утверждении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</w:t>
      </w:r>
      <w:r>
        <w:t>ельства Российской Федерации,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</w:t>
      </w:r>
      <w:r>
        <w:t>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действиями" (Собрание законодательства Российской Федерации, 2020, N 1, ст. 106) (далее - Правила).</w:t>
      </w:r>
    </w:p>
    <w:p w:rsidR="00000000" w:rsidRDefault="00D8738A">
      <w:bookmarkStart w:id="5" w:name="sub_1002"/>
      <w:r>
        <w:t>2. Р</w:t>
      </w:r>
      <w:r>
        <w:t xml:space="preserve">езультаты расчетов, выполненные по Методике, применяются при классификации чрезвычайных ситуаций в соответствии с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N 304 (на основании размера материального ущерба). Положен</w:t>
      </w:r>
      <w:r>
        <w:t>ия Методики направлены на повышение оперативности и обоснованности классификации чрезвычайных ситуаций.</w:t>
      </w:r>
    </w:p>
    <w:bookmarkEnd w:id="5"/>
    <w:p w:rsidR="00000000" w:rsidRDefault="00D8738A"/>
    <w:p w:rsidR="00000000" w:rsidRDefault="00D8738A">
      <w:pPr>
        <w:pStyle w:val="1"/>
      </w:pPr>
      <w:bookmarkStart w:id="6" w:name="sub_200"/>
      <w:r>
        <w:t>II. Общие положения и область применения методики</w:t>
      </w:r>
    </w:p>
    <w:bookmarkEnd w:id="6"/>
    <w:p w:rsidR="00000000" w:rsidRDefault="00D8738A"/>
    <w:p w:rsidR="00000000" w:rsidRDefault="00D8738A">
      <w:bookmarkStart w:id="7" w:name="sub_1003"/>
      <w:r>
        <w:t xml:space="preserve">3. Согласно классификации, установленной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N 304, основными критериями, определяющими отнесение произошедшей чрезвычайной ситуации к чрезвычайной ситуации соответствующего характера, являются количество людей, погибших и (или) получивших вред з</w:t>
      </w:r>
      <w:r>
        <w:t>доровью, и размер ущерба окружающей природной среде и материальных потерь (размер материального ущерба).</w:t>
      </w:r>
    </w:p>
    <w:p w:rsidR="00000000" w:rsidRDefault="00D8738A">
      <w:bookmarkStart w:id="8" w:name="sub_1004"/>
      <w:bookmarkEnd w:id="7"/>
      <w:r>
        <w:t>4. Для целей Методики термины "материальный ущерб" и "ущерб" являются идентичными.</w:t>
      </w:r>
    </w:p>
    <w:bookmarkEnd w:id="8"/>
    <w:p w:rsidR="00000000" w:rsidRDefault="00D8738A">
      <w:r>
        <w:t>Значение всех понятий приведено исключительн</w:t>
      </w:r>
      <w:r>
        <w:t>о в целях использования в Методике.</w:t>
      </w:r>
    </w:p>
    <w:p w:rsidR="00000000" w:rsidRDefault="00D8738A">
      <w:bookmarkStart w:id="9" w:name="sub_1005"/>
      <w:r>
        <w:t>5. Оценка ущерба от чрезвычайных ситуаций является основой для определения характера чрезвычайных ситуаций в целях установления источника финансирования мероприятий по ликвидации их последствий и планирования мер</w:t>
      </w:r>
      <w:r>
        <w:t>оприятий, направленных на предупреждение чрезвычайных ситуаций.</w:t>
      </w:r>
    </w:p>
    <w:p w:rsidR="00000000" w:rsidRDefault="00D8738A">
      <w:bookmarkStart w:id="10" w:name="sub_1006"/>
      <w:bookmarkEnd w:id="9"/>
      <w:r>
        <w:t>6. Методика устанавливает общие положения, на основе которых проводится оценка ущерба от чрезвычайных ситуаций природного и техногенного характера.</w:t>
      </w:r>
    </w:p>
    <w:p w:rsidR="00000000" w:rsidRDefault="00D8738A">
      <w:bookmarkStart w:id="11" w:name="sub_1007"/>
      <w:bookmarkEnd w:id="10"/>
      <w:r>
        <w:t xml:space="preserve">7. Методика </w:t>
      </w:r>
      <w:r>
        <w:t>предназначена для практического использования специалистами федеральных органов исполнительной власти, исполнительных органов государственной власти субъектов Российской Федерации и органов местного самоуправления при проведении оценки ущерба от чрезвычайн</w:t>
      </w:r>
      <w:r>
        <w:t>ых ситуаций.</w:t>
      </w:r>
    </w:p>
    <w:p w:rsidR="00000000" w:rsidRDefault="00D8738A">
      <w:bookmarkStart w:id="12" w:name="sub_1008"/>
      <w:bookmarkEnd w:id="11"/>
      <w:r>
        <w:t>8. Методика не предназначена для определения морального вреда и упущенной выгоды. Ущерб от чрезвычайных ситуаций определяется в денежном выражении и на определенную дату.</w:t>
      </w:r>
    </w:p>
    <w:p w:rsidR="00000000" w:rsidRDefault="00D8738A">
      <w:bookmarkStart w:id="13" w:name="sub_1009"/>
      <w:bookmarkEnd w:id="12"/>
      <w:r>
        <w:t>9. Организация работы по оценке ущерба о</w:t>
      </w:r>
      <w:r>
        <w:t>т чрезвычайных ситуаций, а также непосредственный сбор, обобщение информации и оценка ущерба от чрезвычайных ситуаций могут быть выполнены как последовательно и поэтапно, так и параллельно.</w:t>
      </w:r>
    </w:p>
    <w:p w:rsidR="00000000" w:rsidRDefault="00D8738A">
      <w:bookmarkStart w:id="14" w:name="sub_1010"/>
      <w:bookmarkEnd w:id="13"/>
      <w:r>
        <w:t>10. Общим требованием для оценки ущерба от чрезвыч</w:t>
      </w:r>
      <w:r>
        <w:t>айных ситуаций является исключение двойного счета, когда объект, которому причинен ущерб, учитывается несколько раз при определении различных видов ущерба.</w:t>
      </w:r>
    </w:p>
    <w:bookmarkEnd w:id="14"/>
    <w:p w:rsidR="00000000" w:rsidRDefault="00D8738A"/>
    <w:p w:rsidR="00000000" w:rsidRDefault="00D8738A">
      <w:pPr>
        <w:pStyle w:val="1"/>
      </w:pPr>
      <w:bookmarkStart w:id="15" w:name="sub_300"/>
      <w:r>
        <w:t>III. Составляющие оценки ущерба от чрезвычайных ситуаций</w:t>
      </w:r>
    </w:p>
    <w:bookmarkEnd w:id="15"/>
    <w:p w:rsidR="00000000" w:rsidRDefault="00D8738A"/>
    <w:p w:rsidR="00000000" w:rsidRDefault="00D8738A">
      <w:bookmarkStart w:id="16" w:name="sub_1011"/>
      <w:r>
        <w:t>11. В соотв</w:t>
      </w:r>
      <w:r>
        <w:t xml:space="preserve">етствии с </w:t>
      </w:r>
      <w:hyperlink r:id="rId18" w:history="1">
        <w:r>
          <w:rPr>
            <w:rStyle w:val="a4"/>
          </w:rPr>
          <w:t>национальным стандартом</w:t>
        </w:r>
      </w:hyperlink>
      <w:r>
        <w:t xml:space="preserve"> Российской Федерации ГОСТ Р 55201-2012 "Безопасность в чрезвычайных ситуациях. Порядок разработки перечня мероприятий по гражданской обороне, мероприят</w:t>
      </w:r>
      <w:r>
        <w:t xml:space="preserve">ий по предупреждению чрезвычайных ситуаций природного и техногенного характера при проектировании объектов капитального строительства", утвержденным и введенным в действие </w:t>
      </w:r>
      <w:hyperlink r:id="rId19" w:history="1">
        <w:r>
          <w:rPr>
            <w:rStyle w:val="a4"/>
          </w:rPr>
          <w:t>приказом</w:t>
        </w:r>
      </w:hyperlink>
      <w:r>
        <w:t xml:space="preserve"> Федера</w:t>
      </w:r>
      <w:r>
        <w:t>льного агентства по техническому регулированию и метрологии от 26 ноября 2012 г. N 1193-ст (Стандартинформ, 2013), ущерб от чрезвычайной ситуации - абсолютный размер вреда жизни или здоровью людей, имуществу физических или юридических лиц, государственному</w:t>
      </w:r>
      <w:r>
        <w:t xml:space="preserve"> или муниципальному имуществу, окружающей среде, жизни или здоровью животных и растений.</w:t>
      </w:r>
    </w:p>
    <w:p w:rsidR="00000000" w:rsidRDefault="00D8738A">
      <w:bookmarkStart w:id="17" w:name="sub_1012"/>
      <w:bookmarkEnd w:id="16"/>
      <w:r>
        <w:t>12. Оценка ущерба от чрезвычайных ситуаций, таким образом, включает определение размеров следующих его составляющих:</w:t>
      </w:r>
    </w:p>
    <w:p w:rsidR="00000000" w:rsidRDefault="00D8738A">
      <w:bookmarkStart w:id="18" w:name="sub_121"/>
      <w:bookmarkEnd w:id="17"/>
      <w:r>
        <w:t>1) оценка размера в</w:t>
      </w:r>
      <w:r>
        <w:t>реда жизни и здоровью людей, имуществу физических лиц в части имущества первой необходимости, а также недвижимого имущества;</w:t>
      </w:r>
    </w:p>
    <w:p w:rsidR="00000000" w:rsidRDefault="00D8738A">
      <w:bookmarkStart w:id="19" w:name="sub_122"/>
      <w:bookmarkEnd w:id="18"/>
      <w:r>
        <w:t>2) оценка размера вреда имуществу государственных учреждений, созданных Российской Федерацией или субъектом Российско</w:t>
      </w:r>
      <w:r>
        <w:t>й Федерации, муниципальных учреждений, созданных муниципальным образованием, государственному или муниципальному имуществу;</w:t>
      </w:r>
    </w:p>
    <w:p w:rsidR="00000000" w:rsidRDefault="00D8738A">
      <w:bookmarkStart w:id="20" w:name="sub_123"/>
      <w:bookmarkEnd w:id="19"/>
      <w:r>
        <w:t>3) оценка размера вреда окружающей среде, жизни или здоровью животных и растений, в том числе:</w:t>
      </w:r>
    </w:p>
    <w:bookmarkEnd w:id="20"/>
    <w:p w:rsidR="00000000" w:rsidRDefault="00D8738A">
      <w:r>
        <w:t>нанесенного пове</w:t>
      </w:r>
      <w:r>
        <w:t>рхностным и подземным водам;</w:t>
      </w:r>
    </w:p>
    <w:p w:rsidR="00000000" w:rsidRDefault="00D8738A">
      <w:r>
        <w:t>нанесенного животным и растениям, за исключением сельскохозяйственных;</w:t>
      </w:r>
    </w:p>
    <w:p w:rsidR="00000000" w:rsidRDefault="00D8738A">
      <w:r>
        <w:t>причиненного лесам и находящимся в них природным объектам (по оперативным данным);</w:t>
      </w:r>
    </w:p>
    <w:p w:rsidR="00000000" w:rsidRDefault="00D8738A">
      <w:r>
        <w:t>нанесенного атмосферному воздуху, поверхностному слою почвы, недрам, а та</w:t>
      </w:r>
      <w:r>
        <w:t>кже объектам растительного и животного мира, занесенным в Красную книгу Российской Федерации, красные книги субъектов Российской Федерации,</w:t>
      </w:r>
    </w:p>
    <w:p w:rsidR="00000000" w:rsidRDefault="00D8738A">
      <w:r>
        <w:t>водным биологическим ресурсам, а также иным объектам животного мира, не относящимся к объектам охоты и рыболовства и</w:t>
      </w:r>
      <w:r>
        <w:t xml:space="preserve"> среде их обитания.</w:t>
      </w:r>
    </w:p>
    <w:p w:rsidR="00000000" w:rsidRDefault="00D8738A"/>
    <w:p w:rsidR="00000000" w:rsidRDefault="00D8738A">
      <w:pPr>
        <w:pStyle w:val="1"/>
      </w:pPr>
      <w:bookmarkStart w:id="21" w:name="sub_400"/>
      <w:r>
        <w:t>IV. Расчет составляющих оценки ущерба от чрезвычайных ситуаций</w:t>
      </w:r>
    </w:p>
    <w:bookmarkEnd w:id="21"/>
    <w:p w:rsidR="00000000" w:rsidRDefault="00D8738A"/>
    <w:p w:rsidR="00000000" w:rsidRDefault="00D8738A">
      <w:bookmarkStart w:id="22" w:name="sub_1013"/>
      <w:r>
        <w:t>13. Оценка размера вреда жизни и здоровью людей, имуществу физических лиц в части имущества первой необходимости осуществляется путем расчета затрат на оказание помощи гражданам, члены семей которых погибли в результате чрезвычайной ситуации, а также постр</w:t>
      </w:r>
      <w:r>
        <w:t>адавшим гражданам.</w:t>
      </w:r>
    </w:p>
    <w:bookmarkEnd w:id="22"/>
    <w:p w:rsidR="00000000" w:rsidRDefault="00D8738A">
      <w:r>
        <w:t>Ущерб, связанный с оказанием помощи гражданам, члены семей которых погибли в результате чрезвычайной ситуации, а также пострадавшим гражданам, рассчитывается умножением количества граждан, нуждающихся в оказании помощи соответств</w:t>
      </w:r>
      <w:r>
        <w:t>ующего вида, на размер этой помощи.</w:t>
      </w:r>
    </w:p>
    <w:p w:rsidR="00000000" w:rsidRDefault="00D8738A">
      <w:bookmarkStart w:id="23" w:name="sub_1014"/>
      <w:r>
        <w:t xml:space="preserve">14. При расчете, указанном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Методики, оцениваются следующие виды помощи:</w:t>
      </w:r>
    </w:p>
    <w:p w:rsidR="00000000" w:rsidRDefault="00D8738A">
      <w:bookmarkStart w:id="24" w:name="sub_141"/>
      <w:bookmarkEnd w:id="23"/>
      <w:r>
        <w:t>1) единовременное пособие членам семей граждан, погибших в результате чрезвычайной ситуации (супруге (супругу), детям, родителям и лицам, находившимся на иждивении), в размере 1 млн. рублей на каждого погибшего (умершего) в равных долях каждому члену семьи</w:t>
      </w:r>
      <w:r>
        <w:t>, а также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>;</w:t>
      </w:r>
    </w:p>
    <w:p w:rsidR="00000000" w:rsidRDefault="00D8738A">
      <w:bookmarkStart w:id="25" w:name="sub_142"/>
      <w:bookmarkEnd w:id="24"/>
      <w:r>
        <w:t>2) единовременное пособие гражданам, получив</w:t>
      </w:r>
      <w:r>
        <w:t>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в размере 400 тыс. рублей на человека, легкий вред - 200 тыс. рублей на человека</w:t>
      </w:r>
      <w:r>
        <w:rPr>
          <w:vertAlign w:val="superscript"/>
        </w:rPr>
        <w:t> </w:t>
      </w:r>
      <w:hyperlink w:anchor="sub_222" w:history="1">
        <w:r>
          <w:rPr>
            <w:rStyle w:val="a4"/>
            <w:vertAlign w:val="superscript"/>
          </w:rPr>
          <w:t>2</w:t>
        </w:r>
      </w:hyperlink>
      <w:r>
        <w:t>);</w:t>
      </w:r>
    </w:p>
    <w:p w:rsidR="00000000" w:rsidRDefault="00D8738A">
      <w:bookmarkStart w:id="26" w:name="sub_154"/>
      <w:bookmarkEnd w:id="25"/>
      <w:r>
        <w:t xml:space="preserve">3) финансовая помощь в связи с утратой гражданами имущества первой необходимости (из </w:t>
      </w:r>
      <w:r>
        <w:lastRenderedPageBreak/>
        <w:t>расчета за частично утраченное имущество первой необходимости - 50 тыс. рублей на человека, за полностью утраченное имущество первой необх</w:t>
      </w:r>
      <w:r>
        <w:t>одимости - 100 тыс. рублей на человека</w:t>
      </w:r>
      <w:r>
        <w:rPr>
          <w:vertAlign w:val="superscript"/>
        </w:rPr>
        <w:t> </w:t>
      </w:r>
      <w:hyperlink w:anchor="sub_333" w:history="1">
        <w:r>
          <w:rPr>
            <w:rStyle w:val="a4"/>
            <w:vertAlign w:val="superscript"/>
          </w:rPr>
          <w:t>3</w:t>
        </w:r>
      </w:hyperlink>
      <w:r>
        <w:t>) - гражданам, постоянно проживающим в жилых помещениях, попавших в зону чрезвычайной ситуации, и зарегистрированным в них по месту жительства, чье имущество первой необходимости было утрачен</w:t>
      </w:r>
      <w:r>
        <w:t>о частично или полностью в результате воздействия поражающих факторов источника чрезвычайной ситуации</w:t>
      </w:r>
      <w:r>
        <w:rPr>
          <w:vertAlign w:val="superscript"/>
        </w:rPr>
        <w:t> </w:t>
      </w:r>
      <w:hyperlink w:anchor="sub_444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D8738A">
      <w:bookmarkStart w:id="27" w:name="sub_1015"/>
      <w:bookmarkEnd w:id="26"/>
      <w:r>
        <w:t>15. Оценка размера вреда имуществу физических лиц в части недвижимого имущества осуществляется путем расчета ра</w:t>
      </w:r>
      <w:r>
        <w:t>сходов на реализацию мер социальной поддержки граждан, жилые помещения которых утрачены и (или) повреждены в результате чрезвычайной ситуации.</w:t>
      </w:r>
    </w:p>
    <w:bookmarkEnd w:id="27"/>
    <w:p w:rsidR="00000000" w:rsidRDefault="00D8738A">
      <w:r>
        <w:t>На основании информации высшего исполнительного органа государственной власти субъекта Российской Федерац</w:t>
      </w:r>
      <w:r>
        <w:t>ии о количестве утраченных (поврежденных) жилых помещений и их суммарных общих площадях, а также показателях средней рыночной стоимости 1 кв. метра общей площади жилого помещения в субъекте Российской Федерации, определенных Минстроем России в соответствии</w:t>
      </w:r>
      <w:r>
        <w:t xml:space="preserve"> с </w:t>
      </w:r>
      <w:hyperlink r:id="rId20" w:history="1">
        <w:r>
          <w:rPr>
            <w:rStyle w:val="a4"/>
          </w:rPr>
          <w:t>Положением</w:t>
        </w:r>
      </w:hyperlink>
      <w:r>
        <w:t xml:space="preserve"> о Министерстве строительства и жилищно-коммунального хозяйства Российской Федерации, утвержденным </w:t>
      </w:r>
      <w:hyperlink r:id="rId21" w:history="1">
        <w:r>
          <w:rPr>
            <w:rStyle w:val="a4"/>
          </w:rPr>
          <w:t>пост</w:t>
        </w:r>
        <w:r>
          <w:rPr>
            <w:rStyle w:val="a4"/>
          </w:rPr>
          <w:t>ановлением</w:t>
        </w:r>
      </w:hyperlink>
      <w:r>
        <w:t xml:space="preserve"> Правительства Российской Федерации от 18 ноября 2013 г. N 1038 (Собрание законодательства Российской Федерации, 2013, N 47, ст. 6117; 2020, N 30, ст. 4924), и стоимости капитального ремонта 1 кв. метра общей площади поврежденного жилого помещ</w:t>
      </w:r>
      <w:r>
        <w:t xml:space="preserve">ения, определенного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N 1327, рассчитывается общий объем расходов на реализацию мер социальной поддержки граждан, жилые помещения которых утрачены и (или) повреждены в рез</w:t>
      </w:r>
      <w:r>
        <w:t>ультате чрезвычайной ситуации.</w:t>
      </w:r>
    </w:p>
    <w:p w:rsidR="00000000" w:rsidRDefault="00D8738A">
      <w:bookmarkStart w:id="28" w:name="sub_1016"/>
      <w:r>
        <w:t>16. Оценка размера вреда имуществу государственных учреждений, созданных Российской Федерацией или субъектом Российской Федерации, муниципальных учреждений, созданных муниципальным образованием, государственному или м</w:t>
      </w:r>
      <w:r>
        <w:t>униципальному имуществу осуществляется путем расчета расходов на проведение неотложных аварийно-восстановительных работ на объектах жилищного фонда и социально значимых объектах образования, здравоохранения и социальной поддержки населения, находящихся в г</w:t>
      </w:r>
      <w:r>
        <w:t>осударственной и муниципальной собственности, а также расчета ущерба энергетике, жилищно-коммунальному хозяйству, транспортной инфраструктуре и сельскому хозяйству.</w:t>
      </w:r>
    </w:p>
    <w:bookmarkEnd w:id="28"/>
    <w:p w:rsidR="00000000" w:rsidRDefault="00D8738A">
      <w:r>
        <w:t>Перечень неотложных аварийно-восстановительных работ при ликвидации чрезвычайной си</w:t>
      </w:r>
      <w:r>
        <w:t xml:space="preserve">туации определен </w:t>
      </w:r>
      <w:hyperlink r:id="rId23" w:history="1">
        <w:r>
          <w:rPr>
            <w:rStyle w:val="a4"/>
          </w:rPr>
          <w:t>пунктом 1</w:t>
        </w:r>
      </w:hyperlink>
      <w:r>
        <w:t xml:space="preserve"> Перечня мероприятий по ликвидации чрезвычайных ситуаций федерального, межрегионального и регионального характера и их последствий, ликвидации последствий те</w:t>
      </w:r>
      <w:r>
        <w:t>ррористических актов и (или) пресечения террористических актов правомерными действиями и оказанию гуманитарной помощи иностранным государствам приложения N 1 к Положению.</w:t>
      </w:r>
    </w:p>
    <w:p w:rsidR="00000000" w:rsidRDefault="00D8738A">
      <w:r>
        <w:t>При определении расходов на проведение неотложных аварийно-восстановительных работ ис</w:t>
      </w:r>
      <w:r>
        <w:t>полнительные органы государственной власти субъекта Российской Федерации совместно с органами местного самоуправления осуществляют их оценку в соответствии с актами обследования поврежденных объектов и сметными расчетами на проведение работ.</w:t>
      </w:r>
    </w:p>
    <w:p w:rsidR="00000000" w:rsidRDefault="00D8738A">
      <w:r>
        <w:t xml:space="preserve">Расчет ущерба </w:t>
      </w:r>
      <w:r>
        <w:t>энергетике, жилищно-коммунальному хозяйству, транспортной инфраструктуре, сельскому хозяйству осуществляется исполнительными органами государственной власти субъекта Российской Федерации, на территории которого произошла чрезвычайная ситуация, в соответств</w:t>
      </w:r>
      <w:r>
        <w:t>ии с их сферой ведения. При оценке затрат на восстановление утраченных или поврежденных объектов учитываются только объекты, находящиеся в государственной и муниципальной собственности.</w:t>
      </w:r>
    </w:p>
    <w:p w:rsidR="00000000" w:rsidRDefault="00D8738A">
      <w:bookmarkStart w:id="29" w:name="sub_1017"/>
      <w:r>
        <w:t>17. Расчет составляющих вреда окружающей среде, жизни или здор</w:t>
      </w:r>
      <w:r>
        <w:t>овью животных и растений (при наличии такой возможности) осуществляется соответствующими исполнительными органами государственной власти субъекта Российской Федерации на основании методических и иных документов Правительства Российской Федерации, Минприрод</w:t>
      </w:r>
      <w:r>
        <w:t>ы России и Росрыболовства.</w:t>
      </w:r>
    </w:p>
    <w:bookmarkEnd w:id="29"/>
    <w:p w:rsidR="00000000" w:rsidRDefault="00D8738A"/>
    <w:p w:rsidR="00000000" w:rsidRDefault="00D8738A">
      <w:pPr>
        <w:pStyle w:val="1"/>
      </w:pPr>
      <w:bookmarkStart w:id="30" w:name="sub_500"/>
      <w:r>
        <w:t>V. Порядок проведения оценки ущерба от чрезвычайных ситуаций</w:t>
      </w:r>
    </w:p>
    <w:bookmarkEnd w:id="30"/>
    <w:p w:rsidR="00000000" w:rsidRDefault="00D8738A"/>
    <w:p w:rsidR="00000000" w:rsidRDefault="00D8738A">
      <w:bookmarkStart w:id="31" w:name="sub_1018"/>
      <w:r>
        <w:t>18. Проведение оценки ущерба от чрезвычайных ситуаций осуществляется комиссиями, создаваемыми органами местного самоуправления и (или) и</w:t>
      </w:r>
      <w:r>
        <w:t>сполнительными органами государственной власти субъектов Российской Федерации.</w:t>
      </w:r>
    </w:p>
    <w:bookmarkEnd w:id="31"/>
    <w:p w:rsidR="00000000" w:rsidRDefault="00D8738A">
      <w:r>
        <w:t>Федеральные органы исполнительной власти в рамках своей компетенции организуют оказание органам исполнительной власти субъектов Российской Федерации необходимой методиче</w:t>
      </w:r>
      <w:r>
        <w:t>ской помощи, при необходимости направляют в зону чрезвычайной ситуации своих специалистов и согласовывают результаты оценки ущерба при наличии соответствующих компетенций и полномочий в соответствии с законодательством Российской Федерации.</w:t>
      </w:r>
    </w:p>
    <w:p w:rsidR="00000000" w:rsidRDefault="00D8738A">
      <w:bookmarkStart w:id="32" w:name="sub_1019"/>
      <w:r>
        <w:t xml:space="preserve">19. По </w:t>
      </w:r>
      <w:r>
        <w:t>результатам оценки ущерба от чрезвычайной ситуации оформляется справка об оценке ущерба от чрезвычайной ситуации, утверждаемая руководителем высшего исполнительного органа государственной власти субъекта Российской Федерации (для чрезвычайной ситуации феде</w:t>
      </w:r>
      <w:r>
        <w:t xml:space="preserve">рального, межрегионального, регионального и межмуниципального характера) (рекомендуемый образец приведен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Методике).</w:t>
      </w:r>
    </w:p>
    <w:bookmarkEnd w:id="32"/>
    <w:p w:rsidR="00000000" w:rsidRDefault="00D8738A">
      <w:r>
        <w:t>Для чрезвычайной ситуации муниципального характера справка об оценке ущерба от чрезвычайной</w:t>
      </w:r>
      <w:r>
        <w:t xml:space="preserve"> ситуации утверждается главой местной администрации муниципального района (муниципального (городского) округа), для чрезвычайной ситуации локального характера - руководителем организации (объекта).</w:t>
      </w:r>
    </w:p>
    <w:p w:rsidR="00000000" w:rsidRDefault="00D8738A"/>
    <w:p w:rsidR="00000000" w:rsidRDefault="00D8738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8738A">
      <w:pPr>
        <w:pStyle w:val="a8"/>
      </w:pPr>
      <w:bookmarkStart w:id="33" w:name="sub_111"/>
      <w:r>
        <w:rPr>
          <w:vertAlign w:val="superscript"/>
        </w:rPr>
        <w:t>1</w:t>
      </w:r>
      <w:r>
        <w:t xml:space="preserve"> </w:t>
      </w:r>
      <w:hyperlink r:id="rId24" w:history="1">
        <w:r>
          <w:rPr>
            <w:rStyle w:val="a4"/>
          </w:rPr>
          <w:t>Абзацы второй</w:t>
        </w:r>
      </w:hyperlink>
      <w:r>
        <w:t xml:space="preserve"> и </w:t>
      </w:r>
      <w:hyperlink r:id="rId25" w:history="1">
        <w:r>
          <w:rPr>
            <w:rStyle w:val="a4"/>
          </w:rPr>
          <w:t>третий подпункта "д" пункта 4</w:t>
        </w:r>
      </w:hyperlink>
      <w:r>
        <w:t xml:space="preserve"> Правил.</w:t>
      </w:r>
    </w:p>
    <w:p w:rsidR="00000000" w:rsidRDefault="00D8738A">
      <w:pPr>
        <w:pStyle w:val="a8"/>
      </w:pPr>
      <w:bookmarkStart w:id="34" w:name="sub_222"/>
      <w:bookmarkEnd w:id="33"/>
      <w:r>
        <w:rPr>
          <w:vertAlign w:val="superscript"/>
        </w:rPr>
        <w:t>2</w:t>
      </w:r>
      <w:r>
        <w:t xml:space="preserve"> </w:t>
      </w:r>
      <w:hyperlink r:id="rId26" w:history="1">
        <w:r>
          <w:rPr>
            <w:rStyle w:val="a4"/>
          </w:rPr>
          <w:t>Абзац четвертый подпункта "д" пункта 4</w:t>
        </w:r>
      </w:hyperlink>
      <w:r>
        <w:t xml:space="preserve"> Правил.</w:t>
      </w:r>
    </w:p>
    <w:p w:rsidR="00000000" w:rsidRDefault="00D8738A">
      <w:pPr>
        <w:pStyle w:val="a8"/>
      </w:pPr>
      <w:bookmarkStart w:id="35" w:name="sub_333"/>
      <w:bookmarkEnd w:id="34"/>
      <w:r>
        <w:rPr>
          <w:vertAlign w:val="superscript"/>
        </w:rPr>
        <w:t>3</w:t>
      </w:r>
      <w:r>
        <w:t xml:space="preserve"> </w:t>
      </w:r>
      <w:hyperlink r:id="rId27" w:history="1">
        <w:r>
          <w:rPr>
            <w:rStyle w:val="a4"/>
          </w:rPr>
          <w:t>Подпункт "г" пункта 4</w:t>
        </w:r>
      </w:hyperlink>
      <w:r>
        <w:t xml:space="preserve"> Правил.</w:t>
      </w:r>
    </w:p>
    <w:p w:rsidR="00000000" w:rsidRDefault="00D8738A">
      <w:pPr>
        <w:pStyle w:val="a8"/>
      </w:pPr>
      <w:bookmarkStart w:id="36" w:name="sub_444"/>
      <w:bookmarkEnd w:id="35"/>
      <w:r>
        <w:rPr>
          <w:vertAlign w:val="superscript"/>
        </w:rPr>
        <w:t>4</w:t>
      </w:r>
      <w:r>
        <w:t xml:space="preserve"> </w:t>
      </w:r>
      <w:hyperlink r:id="rId28" w:history="1">
        <w:r>
          <w:rPr>
            <w:rStyle w:val="a4"/>
          </w:rPr>
          <w:t>Подпункт "б" пункта 10</w:t>
        </w:r>
      </w:hyperlink>
      <w:r>
        <w:t xml:space="preserve"> Правил.</w:t>
      </w:r>
    </w:p>
    <w:bookmarkEnd w:id="36"/>
    <w:p w:rsidR="00000000" w:rsidRDefault="00D8738A"/>
    <w:p w:rsidR="00000000" w:rsidRDefault="00D8738A">
      <w:pPr>
        <w:ind w:firstLine="698"/>
        <w:jc w:val="right"/>
      </w:pPr>
      <w:bookmarkStart w:id="37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оценки ущерба</w:t>
      </w:r>
      <w:r>
        <w:rPr>
          <w:rStyle w:val="a3"/>
        </w:rPr>
        <w:br/>
        <w:t>от чрезвычайных ситуаций,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01.09.2020 N 631</w:t>
      </w:r>
    </w:p>
    <w:bookmarkEnd w:id="37"/>
    <w:p w:rsidR="00000000" w:rsidRDefault="00D8738A"/>
    <w:p w:rsidR="00000000" w:rsidRDefault="00D8738A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D873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6"/>
        <w:gridCol w:w="4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38A">
            <w:pPr>
              <w:pStyle w:val="a5"/>
              <w:jc w:val="center"/>
            </w:pPr>
            <w:r>
              <w:t>УТВЕРЖДАЮ</w:t>
            </w:r>
          </w:p>
          <w:p w:rsidR="00000000" w:rsidRDefault="00D8738A">
            <w:pPr>
              <w:pStyle w:val="a5"/>
              <w:jc w:val="center"/>
            </w:pPr>
            <w:r>
              <w:t>Руководитель высшего</w:t>
            </w:r>
          </w:p>
          <w:p w:rsidR="00000000" w:rsidRDefault="00D8738A">
            <w:pPr>
              <w:pStyle w:val="a5"/>
              <w:jc w:val="center"/>
            </w:pPr>
            <w:r>
              <w:t>исполнительного органа</w:t>
            </w:r>
          </w:p>
          <w:p w:rsidR="00000000" w:rsidRDefault="00D8738A">
            <w:pPr>
              <w:pStyle w:val="a5"/>
              <w:jc w:val="center"/>
            </w:pPr>
            <w:r>
              <w:t>государственной власти субъекта</w:t>
            </w:r>
          </w:p>
          <w:p w:rsidR="00000000" w:rsidRDefault="00D8738A">
            <w:pPr>
              <w:pStyle w:val="a5"/>
              <w:jc w:val="center"/>
            </w:pPr>
            <w:r>
              <w:t>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38A">
            <w:pPr>
              <w:pStyle w:val="a5"/>
              <w:jc w:val="center"/>
            </w:pPr>
            <w:r>
              <w:t>____________________________</w:t>
            </w:r>
          </w:p>
          <w:p w:rsidR="00000000" w:rsidRDefault="00D8738A">
            <w:pPr>
              <w:pStyle w:val="a5"/>
              <w:jc w:val="center"/>
            </w:pPr>
            <w:r>
              <w:t>(подпись, фамилия,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38A">
            <w:pPr>
              <w:pStyle w:val="a5"/>
            </w:pPr>
          </w:p>
          <w:p w:rsidR="00000000" w:rsidRDefault="00D8738A">
            <w:pPr>
              <w:pStyle w:val="a7"/>
            </w:pPr>
            <w:r>
              <w:t>"__"________________ 20___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38A">
            <w:pPr>
              <w:pStyle w:val="a5"/>
              <w:jc w:val="right"/>
            </w:pPr>
            <w:r>
              <w:t>М.П.</w:t>
            </w:r>
          </w:p>
        </w:tc>
      </w:tr>
    </w:tbl>
    <w:p w:rsidR="00000000" w:rsidRDefault="00D873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38A">
            <w:pPr>
              <w:pStyle w:val="1"/>
            </w:pPr>
            <w:r>
              <w:t>СПРАВКА</w:t>
            </w:r>
          </w:p>
          <w:p w:rsidR="00000000" w:rsidRDefault="00D8738A">
            <w:pPr>
              <w:pStyle w:val="1"/>
            </w:pPr>
            <w:r>
              <w:t>об оценке ущерба от чрезвычайной ситуации</w:t>
            </w:r>
          </w:p>
          <w:p w:rsidR="00000000" w:rsidRDefault="00D8738A">
            <w:pPr>
              <w:pStyle w:val="1"/>
            </w:pPr>
            <w:r>
              <w:t>__________________________________________________________________</w:t>
            </w:r>
          </w:p>
          <w:p w:rsidR="00000000" w:rsidRDefault="00D8738A">
            <w:pPr>
              <w:pStyle w:val="1"/>
            </w:pPr>
            <w:r>
              <w:t>(наименование чрезвычайной ситуации)</w:t>
            </w:r>
          </w:p>
        </w:tc>
      </w:tr>
    </w:tbl>
    <w:p w:rsidR="00000000" w:rsidRDefault="00D873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5261"/>
        <w:gridCol w:w="2347"/>
        <w:gridCol w:w="1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  <w:jc w:val="center"/>
            </w:pPr>
            <w:r>
              <w:t>N</w:t>
            </w:r>
          </w:p>
          <w:p w:rsidR="00000000" w:rsidRDefault="00D8738A">
            <w:pPr>
              <w:pStyle w:val="a5"/>
              <w:jc w:val="center"/>
            </w:pPr>
            <w:r>
              <w:t>п/п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  <w:jc w:val="center"/>
            </w:pPr>
            <w:r>
              <w:t>Наименование составляющей ущерба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  <w:jc w:val="center"/>
            </w:pPr>
            <w:r>
              <w:t>Оценка размера ущерба, тыс. рублей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  <w:jc w:val="center"/>
            </w:pPr>
            <w:bookmarkStart w:id="38" w:name="sub_1101"/>
            <w:r>
              <w:t>1.</w:t>
            </w:r>
            <w:bookmarkEnd w:id="38"/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r>
              <w:t>Оценка размера вреда жизни и здоровью людей, имуществу физических лиц в части имущества первой необходимости: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39" w:name="sub_11"/>
            <w:r>
              <w:t>1.1. Выплата единовременного пособия членам семей граждан, погибших (умерших) в результате чрезвычайной ситуации, включая пособия на погребение</w:t>
            </w:r>
            <w:bookmarkEnd w:id="39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40" w:name="sub_12"/>
            <w:r>
              <w:t>1.2. Выплата единовременного пособия гражданам, получившим в результате чрезвычайной ситуации тяжкий или средней тяжести вред здоровью</w:t>
            </w:r>
            <w:bookmarkEnd w:id="40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41" w:name="sub_13"/>
            <w:r>
              <w:t>1.3. Выплата единовременного пособия гражданам, получившим в результате чрезвычайной ситуации легкий вред</w:t>
            </w:r>
            <w:r>
              <w:t xml:space="preserve"> здоровью</w:t>
            </w:r>
            <w:bookmarkEnd w:id="41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42" w:name="sub_14"/>
            <w:r>
              <w:t>1.4. Оказание финансовой помощи в связи с частичной утратой имущества первой необходимости</w:t>
            </w:r>
            <w:bookmarkEnd w:id="42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43" w:name="sub_15"/>
            <w:r>
              <w:t>1.5. Оказание финансовой помощи в связи с полной утратой имущества первой необходимости</w:t>
            </w:r>
            <w:bookmarkEnd w:id="43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  <w:jc w:val="center"/>
            </w:pPr>
            <w:bookmarkStart w:id="44" w:name="sub_1102"/>
            <w:r>
              <w:t>2.</w:t>
            </w:r>
            <w:bookmarkEnd w:id="44"/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r>
              <w:t>Оценка размера вреда имуществу физических лиц в части недвижимого имущества: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45" w:name="sub_21"/>
            <w:r>
              <w:t>2.1. Реализация мер социальной поддержки граждан, жилые помещения которых утрачены</w:t>
            </w:r>
            <w:bookmarkEnd w:id="45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46" w:name="sub_22"/>
            <w:r>
              <w:t>2.2. Реализация мер социальной поддержки граждан, жилые помещения которых повреждены</w:t>
            </w:r>
            <w:bookmarkEnd w:id="46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8738A">
            <w:pPr>
              <w:pStyle w:val="a5"/>
              <w:jc w:val="center"/>
            </w:pPr>
            <w:bookmarkStart w:id="47" w:name="sub_1103"/>
            <w:r>
              <w:t>3.</w:t>
            </w:r>
            <w:bookmarkEnd w:id="47"/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r>
              <w:t>Оценка размера вреда имуществу государственных учреждений, созданных Российской Федерацией или субъектом Российской Федерации, муниципальных уч</w:t>
            </w:r>
            <w:r>
              <w:t>реждений, созданных муниципальным образованием, государственному или муниципальному имуществу: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r>
              <w:t>Проведение неотложных аварийно-восстановительных работ на находящихся в государственной и муниципальной собственности объектах: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48" w:name="sub_31"/>
            <w:r>
              <w:t>3.1. Жилищного фонда</w:t>
            </w:r>
            <w:bookmarkEnd w:id="48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49" w:name="sub_32"/>
            <w:r>
              <w:t>3.2. Образования</w:t>
            </w:r>
            <w:bookmarkEnd w:id="49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50" w:name="sub_33"/>
            <w:r>
              <w:t>3.3. Здравоохранения</w:t>
            </w:r>
            <w:bookmarkEnd w:id="50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51" w:name="sub_34"/>
            <w:r>
              <w:t>3.4. Социальной поддержки населения</w:t>
            </w:r>
            <w:bookmarkEnd w:id="51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r>
              <w:t>Ущерб по отраслям: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52" w:name="sub_35"/>
            <w:r>
              <w:t>3.5. Энергетика</w:t>
            </w:r>
            <w:bookmarkEnd w:id="52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53" w:name="sub_36"/>
            <w:r>
              <w:t>3.6. Жилищно-коммунальное хозяйство</w:t>
            </w:r>
            <w:bookmarkEnd w:id="53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54" w:name="sub_37"/>
            <w:r>
              <w:t>3.7. Транспортная инфраструктура</w:t>
            </w:r>
            <w:bookmarkEnd w:id="54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55" w:name="sub_38"/>
            <w:r>
              <w:t>3.8. Сельское хозяйство</w:t>
            </w:r>
            <w:bookmarkEnd w:id="55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8738A">
            <w:pPr>
              <w:pStyle w:val="a5"/>
              <w:jc w:val="center"/>
            </w:pPr>
            <w:bookmarkStart w:id="56" w:name="sub_1104"/>
            <w:r>
              <w:lastRenderedPageBreak/>
              <w:t>4.</w:t>
            </w:r>
            <w:bookmarkEnd w:id="56"/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r>
              <w:t>Оценка размера вреда окружающей среде, жизни или здоровью животных и растений, в том числе: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57" w:name="sub_41"/>
            <w:r>
              <w:t>4.1. Ущерб, нанесенный поверхностным и подземным водам</w:t>
            </w:r>
            <w:bookmarkEnd w:id="57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58" w:name="sub_42"/>
            <w:r>
              <w:t>4.2. Ущерб, нанесенный животным и растениям, за исключением сельскохозяйственных</w:t>
            </w:r>
            <w:bookmarkEnd w:id="58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59" w:name="sub_43"/>
            <w:r>
              <w:t>4.3. Ущерб, причиненный лесам и находящимся в них природным объектам (по оперативным данным)</w:t>
            </w:r>
            <w:bookmarkEnd w:id="59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bookmarkStart w:id="60" w:name="sub_44"/>
            <w:r>
              <w:t xml:space="preserve">4.4. Ущерб, нанесенный атмосферному воздуху, поверхностному слою почвы, недрам, а также ущерб, нанесенный объектам растительного и животного мира, </w:t>
            </w:r>
            <w:r>
              <w:t>занесенным в Красную книгу Российской Федерации, красные книги субъектов Российской Федерации, водным биологическим ресурсам, а также иным объектам животного мира, не относящимся к объектам охоты и рыболовства и среде их обитания</w:t>
            </w:r>
            <w:bookmarkEnd w:id="60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7"/>
            </w:pPr>
            <w:r>
              <w:t>ИТОГО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38A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38A">
            <w:pPr>
              <w:pStyle w:val="a5"/>
            </w:pPr>
          </w:p>
        </w:tc>
      </w:tr>
    </w:tbl>
    <w:p w:rsidR="00000000" w:rsidRDefault="00D8738A"/>
    <w:sectPr w:rsidR="00000000">
      <w:headerReference w:type="default" r:id="rId29"/>
      <w:footerReference w:type="default" r:id="rId3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738A">
      <w:r>
        <w:separator/>
      </w:r>
    </w:p>
  </w:endnote>
  <w:endnote w:type="continuationSeparator" w:id="0">
    <w:p w:rsidR="00000000" w:rsidRDefault="00D8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8738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738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738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738A">
      <w:r>
        <w:separator/>
      </w:r>
    </w:p>
  </w:footnote>
  <w:footnote w:type="continuationSeparator" w:id="0">
    <w:p w:rsidR="00000000" w:rsidRDefault="00D8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738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1 сентября 2020 г. N 631 "Об утверждении Методики оценки ущерба от…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8A"/>
    <w:rsid w:val="00D8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06B208-639C-456F-AC0C-E7949F84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7212/0" TargetMode="External"/><Relationship Id="rId13" Type="http://schemas.openxmlformats.org/officeDocument/2006/relationships/hyperlink" Target="http://internet.garant.ru/document/redirect/72874176/0" TargetMode="External"/><Relationship Id="rId18" Type="http://schemas.openxmlformats.org/officeDocument/2006/relationships/hyperlink" Target="http://internet.garant.ru/document/redirect/70453260/331" TargetMode="External"/><Relationship Id="rId26" Type="http://schemas.openxmlformats.org/officeDocument/2006/relationships/hyperlink" Target="http://internet.garant.ru/document/redirect/73364757/104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509708/0" TargetMode="External"/><Relationship Id="rId7" Type="http://schemas.openxmlformats.org/officeDocument/2006/relationships/hyperlink" Target="http://internet.garant.ru/document/redirect/187212/100827" TargetMode="External"/><Relationship Id="rId12" Type="http://schemas.openxmlformats.org/officeDocument/2006/relationships/hyperlink" Target="http://internet.garant.ru/document/redirect/12153609/0" TargetMode="External"/><Relationship Id="rId17" Type="http://schemas.openxmlformats.org/officeDocument/2006/relationships/hyperlink" Target="http://internet.garant.ru/document/redirect/12153609/0" TargetMode="External"/><Relationship Id="rId25" Type="http://schemas.openxmlformats.org/officeDocument/2006/relationships/hyperlink" Target="http://internet.garant.ru/document/redirect/73364757/1045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3609/0" TargetMode="External"/><Relationship Id="rId20" Type="http://schemas.openxmlformats.org/officeDocument/2006/relationships/hyperlink" Target="http://internet.garant.ru/document/redirect/70509708/105238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6620/0" TargetMode="External"/><Relationship Id="rId24" Type="http://schemas.openxmlformats.org/officeDocument/2006/relationships/hyperlink" Target="http://internet.garant.ru/document/redirect/73364757/1045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3364757/0" TargetMode="External"/><Relationship Id="rId23" Type="http://schemas.openxmlformats.org/officeDocument/2006/relationships/hyperlink" Target="http://internet.garant.ru/document/redirect/73364849/11001" TargetMode="External"/><Relationship Id="rId28" Type="http://schemas.openxmlformats.org/officeDocument/2006/relationships/hyperlink" Target="http://internet.garant.ru/document/redirect/73364757/1102" TargetMode="External"/><Relationship Id="rId10" Type="http://schemas.openxmlformats.org/officeDocument/2006/relationships/hyperlink" Target="http://internet.garant.ru/document/redirect/187212/0" TargetMode="External"/><Relationship Id="rId19" Type="http://schemas.openxmlformats.org/officeDocument/2006/relationships/hyperlink" Target="http://internet.garant.ru/document/redirect/70343034/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7212/100827" TargetMode="External"/><Relationship Id="rId14" Type="http://schemas.openxmlformats.org/officeDocument/2006/relationships/hyperlink" Target="http://internet.garant.ru/document/redirect/73364849/0" TargetMode="External"/><Relationship Id="rId22" Type="http://schemas.openxmlformats.org/officeDocument/2006/relationships/hyperlink" Target="http://internet.garant.ru/document/redirect/72874176/1009" TargetMode="External"/><Relationship Id="rId27" Type="http://schemas.openxmlformats.org/officeDocument/2006/relationships/hyperlink" Target="http://internet.garant.ru/document/redirect/73364757/1044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Ягафарова</cp:lastModifiedBy>
  <cp:revision>2</cp:revision>
  <dcterms:created xsi:type="dcterms:W3CDTF">2021-05-18T10:13:00Z</dcterms:created>
  <dcterms:modified xsi:type="dcterms:W3CDTF">2021-05-18T10:13:00Z</dcterms:modified>
</cp:coreProperties>
</file>