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CF" w:rsidRDefault="007761CF" w:rsidP="00776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</w:t>
      </w:r>
    </w:p>
    <w:p w:rsidR="007761CF" w:rsidRDefault="007761CF" w:rsidP="00776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перечня организаций, расположенных на территории Челябинской области,</w:t>
      </w:r>
    </w:p>
    <w:p w:rsidR="00C37386" w:rsidRDefault="007761CF" w:rsidP="00776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объектах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должны создаваться локальные системы оповещения* </w:t>
      </w:r>
      <w:bookmarkStart w:id="0" w:name="_GoBack"/>
      <w:bookmarkEnd w:id="0"/>
    </w:p>
    <w:p w:rsidR="007761CF" w:rsidRDefault="007761CF" w:rsidP="00776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2126"/>
        <w:gridCol w:w="2439"/>
        <w:gridCol w:w="2381"/>
        <w:gridCol w:w="1275"/>
        <w:gridCol w:w="1276"/>
        <w:gridCol w:w="1730"/>
      </w:tblGrid>
      <w:tr w:rsidR="007761CF" w:rsidRPr="00797BD0" w:rsidTr="00102F58">
        <w:tc>
          <w:tcPr>
            <w:tcW w:w="426" w:type="dxa"/>
            <w:vMerge w:val="restart"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7BD0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7BD0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3686" w:type="dxa"/>
            <w:vMerge w:val="restart"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7BD0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</w:p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7BD0">
              <w:rPr>
                <w:rFonts w:ascii="Times New Roman" w:hAnsi="Times New Roman" w:cs="Times New Roman"/>
                <w:sz w:val="21"/>
                <w:szCs w:val="21"/>
              </w:rPr>
              <w:t>организации</w:t>
            </w:r>
          </w:p>
        </w:tc>
        <w:tc>
          <w:tcPr>
            <w:tcW w:w="2126" w:type="dxa"/>
            <w:vMerge w:val="restart"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7BD0">
              <w:rPr>
                <w:rFonts w:ascii="Times New Roman" w:hAnsi="Times New Roman" w:cs="Times New Roman"/>
                <w:sz w:val="21"/>
                <w:szCs w:val="21"/>
              </w:rPr>
              <w:t>Адрес организации</w:t>
            </w:r>
          </w:p>
        </w:tc>
        <w:tc>
          <w:tcPr>
            <w:tcW w:w="2439" w:type="dxa"/>
            <w:vMerge w:val="restart"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7BD0">
              <w:rPr>
                <w:rFonts w:ascii="Times New Roman" w:hAnsi="Times New Roman" w:cs="Times New Roman"/>
                <w:sz w:val="21"/>
                <w:szCs w:val="21"/>
              </w:rPr>
              <w:t>Наименование объекта организации</w:t>
            </w:r>
          </w:p>
        </w:tc>
        <w:tc>
          <w:tcPr>
            <w:tcW w:w="2381" w:type="dxa"/>
            <w:vMerge w:val="restart"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7BD0">
              <w:rPr>
                <w:rFonts w:ascii="Times New Roman" w:hAnsi="Times New Roman" w:cs="Times New Roman"/>
                <w:sz w:val="21"/>
                <w:szCs w:val="21"/>
              </w:rPr>
              <w:t>Фактический адрес объекта</w:t>
            </w:r>
          </w:p>
        </w:tc>
        <w:tc>
          <w:tcPr>
            <w:tcW w:w="4281" w:type="dxa"/>
            <w:gridSpan w:val="3"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7BD0">
              <w:rPr>
                <w:rFonts w:ascii="Times New Roman" w:hAnsi="Times New Roman" w:cs="Times New Roman"/>
                <w:sz w:val="21"/>
                <w:szCs w:val="21"/>
              </w:rPr>
              <w:t>Наименование критерия, по которому объект отнесен к опасному объекту</w:t>
            </w:r>
          </w:p>
        </w:tc>
      </w:tr>
      <w:tr w:rsidR="007761CF" w:rsidRPr="00797BD0" w:rsidTr="00102F58">
        <w:tc>
          <w:tcPr>
            <w:tcW w:w="426" w:type="dxa"/>
            <w:vMerge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Merge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9" w:type="dxa"/>
            <w:vMerge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81" w:type="dxa"/>
            <w:vMerge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7BD0">
              <w:rPr>
                <w:rFonts w:ascii="Times New Roman" w:hAnsi="Times New Roman" w:cs="Times New Roman"/>
                <w:sz w:val="21"/>
                <w:szCs w:val="21"/>
              </w:rPr>
              <w:t>Класс опасности</w:t>
            </w:r>
          </w:p>
        </w:tc>
        <w:tc>
          <w:tcPr>
            <w:tcW w:w="1276" w:type="dxa"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7BD0">
              <w:rPr>
                <w:rFonts w:ascii="Times New Roman" w:hAnsi="Times New Roman" w:cs="Times New Roman"/>
                <w:sz w:val="21"/>
                <w:szCs w:val="21"/>
              </w:rPr>
              <w:t>Вид опасности</w:t>
            </w:r>
          </w:p>
        </w:tc>
        <w:tc>
          <w:tcPr>
            <w:tcW w:w="1730" w:type="dxa"/>
          </w:tcPr>
          <w:p w:rsidR="007761CF" w:rsidRPr="00797BD0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7BD0">
              <w:rPr>
                <w:rFonts w:ascii="Times New Roman" w:hAnsi="Times New Roman" w:cs="Times New Roman"/>
                <w:sz w:val="21"/>
                <w:szCs w:val="21"/>
              </w:rPr>
              <w:t>Форма собственности</w:t>
            </w:r>
          </w:p>
        </w:tc>
      </w:tr>
      <w:tr w:rsidR="007761CF" w:rsidRPr="00797BD0" w:rsidTr="00102F58">
        <w:tc>
          <w:tcPr>
            <w:tcW w:w="426" w:type="dxa"/>
            <w:vAlign w:val="center"/>
          </w:tcPr>
          <w:p w:rsidR="007761CF" w:rsidRPr="00797BD0" w:rsidRDefault="007761CF" w:rsidP="00DE52BF">
            <w:pPr>
              <w:pStyle w:val="a4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761CF" w:rsidRPr="00102F58" w:rsidRDefault="007761CF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 xml:space="preserve">Филиал </w:t>
            </w:r>
            <w:r w:rsidR="00B1754D" w:rsidRPr="00102F58">
              <w:rPr>
                <w:rFonts w:ascii="Times New Roman" w:hAnsi="Times New Roman" w:cs="Times New Roman"/>
                <w:sz w:val="21"/>
                <w:szCs w:val="21"/>
              </w:rPr>
              <w:t xml:space="preserve">по эксплуатации водохранилищ Челябинской области </w:t>
            </w: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Федерального государственного бюджетного водохозяйственного учреждения «</w:t>
            </w:r>
            <w:proofErr w:type="spellStart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Центррегион</w:t>
            </w:r>
            <w:r w:rsidR="00B1754D" w:rsidRPr="00102F58">
              <w:rPr>
                <w:rFonts w:ascii="Times New Roman" w:hAnsi="Times New Roman" w:cs="Times New Roman"/>
                <w:sz w:val="21"/>
                <w:szCs w:val="21"/>
              </w:rPr>
              <w:t>водхоз</w:t>
            </w:r>
            <w:proofErr w:type="spellEnd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2126" w:type="dxa"/>
            <w:vAlign w:val="center"/>
          </w:tcPr>
          <w:p w:rsidR="007761CF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г. Челябинск,</w:t>
            </w:r>
          </w:p>
          <w:p w:rsidR="00B1754D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ул. Калинина, 13А</w:t>
            </w:r>
          </w:p>
        </w:tc>
        <w:tc>
          <w:tcPr>
            <w:tcW w:w="2439" w:type="dxa"/>
            <w:vAlign w:val="center"/>
          </w:tcPr>
          <w:p w:rsidR="007761CF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 xml:space="preserve">Гидроузел </w:t>
            </w:r>
            <w:proofErr w:type="spellStart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Шершневского</w:t>
            </w:r>
            <w:proofErr w:type="spellEnd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 xml:space="preserve"> водохранилища </w:t>
            </w:r>
            <w:r w:rsidRPr="00102F58">
              <w:rPr>
                <w:rFonts w:ascii="Times New Roman" w:hAnsi="Times New Roman" w:cs="Times New Roman"/>
                <w:sz w:val="21"/>
                <w:szCs w:val="21"/>
              </w:rPr>
              <w:br/>
              <w:t>на р. Миасс</w:t>
            </w:r>
          </w:p>
        </w:tc>
        <w:tc>
          <w:tcPr>
            <w:tcW w:w="2381" w:type="dxa"/>
            <w:vAlign w:val="center"/>
          </w:tcPr>
          <w:p w:rsidR="007761CF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 xml:space="preserve">г. Челябинск, </w:t>
            </w:r>
            <w:proofErr w:type="spellStart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Шершневское</w:t>
            </w:r>
            <w:proofErr w:type="spellEnd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 xml:space="preserve"> водохранилище</w:t>
            </w:r>
          </w:p>
        </w:tc>
        <w:tc>
          <w:tcPr>
            <w:tcW w:w="1275" w:type="dxa"/>
            <w:vAlign w:val="center"/>
          </w:tcPr>
          <w:p w:rsidR="007761CF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7761CF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ГТС</w:t>
            </w:r>
          </w:p>
        </w:tc>
        <w:tc>
          <w:tcPr>
            <w:tcW w:w="1730" w:type="dxa"/>
            <w:vAlign w:val="center"/>
          </w:tcPr>
          <w:p w:rsidR="007761CF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федеральная</w:t>
            </w:r>
          </w:p>
        </w:tc>
      </w:tr>
      <w:tr w:rsidR="007761CF" w:rsidRPr="00797BD0" w:rsidTr="00102F58">
        <w:tc>
          <w:tcPr>
            <w:tcW w:w="426" w:type="dxa"/>
            <w:vAlign w:val="center"/>
          </w:tcPr>
          <w:p w:rsidR="007761CF" w:rsidRPr="00797BD0" w:rsidRDefault="007761CF" w:rsidP="00DE52BF">
            <w:pPr>
              <w:pStyle w:val="a4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761CF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 xml:space="preserve">МУП «Производственное объединение водоснабжения </w:t>
            </w:r>
            <w:r w:rsidRPr="00102F58">
              <w:rPr>
                <w:rFonts w:ascii="Times New Roman" w:hAnsi="Times New Roman" w:cs="Times New Roman"/>
                <w:sz w:val="21"/>
                <w:szCs w:val="21"/>
              </w:rPr>
              <w:br/>
              <w:t>и водоотведения города Челябинск»</w:t>
            </w:r>
          </w:p>
        </w:tc>
        <w:tc>
          <w:tcPr>
            <w:tcW w:w="2126" w:type="dxa"/>
            <w:vAlign w:val="center"/>
          </w:tcPr>
          <w:p w:rsidR="007761CF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 xml:space="preserve">г. Челябинск, </w:t>
            </w:r>
            <w:r w:rsidRPr="00102F58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ул. Воровского, 60А </w:t>
            </w:r>
          </w:p>
        </w:tc>
        <w:tc>
          <w:tcPr>
            <w:tcW w:w="2439" w:type="dxa"/>
            <w:vAlign w:val="center"/>
          </w:tcPr>
          <w:p w:rsidR="007761CF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Склад СП ОСВ</w:t>
            </w:r>
          </w:p>
        </w:tc>
        <w:tc>
          <w:tcPr>
            <w:tcW w:w="2381" w:type="dxa"/>
            <w:vAlign w:val="center"/>
          </w:tcPr>
          <w:p w:rsidR="007761CF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7761CF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7761CF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ХОО</w:t>
            </w:r>
          </w:p>
        </w:tc>
        <w:tc>
          <w:tcPr>
            <w:tcW w:w="1730" w:type="dxa"/>
            <w:vAlign w:val="center"/>
          </w:tcPr>
          <w:p w:rsidR="007761CF" w:rsidRPr="00102F58" w:rsidRDefault="00B1754D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муниципальная</w:t>
            </w:r>
          </w:p>
        </w:tc>
      </w:tr>
      <w:tr w:rsidR="007761CF" w:rsidRPr="00797BD0" w:rsidTr="00102F58">
        <w:tc>
          <w:tcPr>
            <w:tcW w:w="426" w:type="dxa"/>
            <w:vAlign w:val="center"/>
          </w:tcPr>
          <w:p w:rsidR="007761CF" w:rsidRPr="00797BD0" w:rsidRDefault="007761CF" w:rsidP="00DE52BF">
            <w:pPr>
              <w:pStyle w:val="a4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761CF" w:rsidRPr="00102F58" w:rsidRDefault="00D5355A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ООО «</w:t>
            </w:r>
            <w:proofErr w:type="spellStart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Донкарб</w:t>
            </w:r>
            <w:proofErr w:type="spellEnd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 xml:space="preserve"> Графит»</w:t>
            </w:r>
          </w:p>
        </w:tc>
        <w:tc>
          <w:tcPr>
            <w:tcW w:w="2126" w:type="dxa"/>
            <w:vAlign w:val="center"/>
          </w:tcPr>
          <w:p w:rsidR="007761CF" w:rsidRPr="00102F58" w:rsidRDefault="00D5355A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 xml:space="preserve">г. Челябинск, </w:t>
            </w:r>
            <w:r w:rsidRPr="00102F58">
              <w:rPr>
                <w:rFonts w:ascii="Times New Roman" w:hAnsi="Times New Roman" w:cs="Times New Roman"/>
                <w:sz w:val="21"/>
                <w:szCs w:val="21"/>
              </w:rPr>
              <w:br/>
              <w:t>ул. Мраморная, 16</w:t>
            </w:r>
          </w:p>
        </w:tc>
        <w:tc>
          <w:tcPr>
            <w:tcW w:w="2439" w:type="dxa"/>
            <w:vAlign w:val="center"/>
          </w:tcPr>
          <w:p w:rsidR="007761CF" w:rsidRPr="00102F58" w:rsidRDefault="00D5355A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Склад</w:t>
            </w:r>
          </w:p>
        </w:tc>
        <w:tc>
          <w:tcPr>
            <w:tcW w:w="2381" w:type="dxa"/>
            <w:vAlign w:val="center"/>
          </w:tcPr>
          <w:p w:rsidR="007761CF" w:rsidRPr="00102F58" w:rsidRDefault="00D5355A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 xml:space="preserve">г. Челябинск, </w:t>
            </w:r>
            <w:r w:rsidRPr="00102F58">
              <w:rPr>
                <w:rFonts w:ascii="Times New Roman" w:hAnsi="Times New Roman" w:cs="Times New Roman"/>
                <w:sz w:val="21"/>
                <w:szCs w:val="21"/>
              </w:rPr>
              <w:br/>
              <w:t>ул. Мраморная, 16</w:t>
            </w:r>
          </w:p>
        </w:tc>
        <w:tc>
          <w:tcPr>
            <w:tcW w:w="1275" w:type="dxa"/>
            <w:vAlign w:val="center"/>
          </w:tcPr>
          <w:p w:rsidR="007761CF" w:rsidRPr="00102F58" w:rsidRDefault="00D5355A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7761CF" w:rsidRPr="00102F58" w:rsidRDefault="00D5355A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ХОО</w:t>
            </w:r>
          </w:p>
        </w:tc>
        <w:tc>
          <w:tcPr>
            <w:tcW w:w="1730" w:type="dxa"/>
            <w:vAlign w:val="center"/>
          </w:tcPr>
          <w:p w:rsidR="007761CF" w:rsidRPr="00102F58" w:rsidRDefault="00D5355A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частная</w:t>
            </w:r>
          </w:p>
        </w:tc>
      </w:tr>
      <w:tr w:rsidR="00B373D7" w:rsidRPr="00797BD0" w:rsidTr="00102F58">
        <w:tc>
          <w:tcPr>
            <w:tcW w:w="426" w:type="dxa"/>
            <w:vMerge w:val="restart"/>
            <w:vAlign w:val="center"/>
          </w:tcPr>
          <w:p w:rsidR="00B373D7" w:rsidRPr="00797BD0" w:rsidRDefault="00B373D7" w:rsidP="00DE52BF">
            <w:pPr>
              <w:pStyle w:val="a4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B373D7" w:rsidRPr="00102F58" w:rsidRDefault="00B373D7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ПАО «Челябинский цинковый завод»</w:t>
            </w:r>
          </w:p>
        </w:tc>
        <w:tc>
          <w:tcPr>
            <w:tcW w:w="2126" w:type="dxa"/>
            <w:vMerge w:val="restart"/>
            <w:vAlign w:val="center"/>
          </w:tcPr>
          <w:p w:rsidR="00B373D7" w:rsidRPr="00102F58" w:rsidRDefault="00B373D7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г. Челябинск, Свердловский тракт, 24</w:t>
            </w:r>
          </w:p>
        </w:tc>
        <w:tc>
          <w:tcPr>
            <w:tcW w:w="2439" w:type="dxa"/>
            <w:vAlign w:val="center"/>
          </w:tcPr>
          <w:p w:rsidR="00B373D7" w:rsidRPr="00102F58" w:rsidRDefault="00B373D7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Участок кислотного хозяйства</w:t>
            </w:r>
          </w:p>
        </w:tc>
        <w:tc>
          <w:tcPr>
            <w:tcW w:w="2381" w:type="dxa"/>
            <w:vMerge w:val="restart"/>
            <w:vAlign w:val="center"/>
          </w:tcPr>
          <w:p w:rsidR="00B373D7" w:rsidRPr="00102F58" w:rsidRDefault="00B373D7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г. Челябинск, Свердловский тракт, 24</w:t>
            </w:r>
          </w:p>
        </w:tc>
        <w:tc>
          <w:tcPr>
            <w:tcW w:w="1275" w:type="dxa"/>
            <w:vAlign w:val="center"/>
          </w:tcPr>
          <w:p w:rsidR="00B373D7" w:rsidRPr="00102F58" w:rsidRDefault="00B373D7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B373D7" w:rsidRPr="00102F58" w:rsidRDefault="00B373D7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ХОО</w:t>
            </w:r>
          </w:p>
        </w:tc>
        <w:tc>
          <w:tcPr>
            <w:tcW w:w="1730" w:type="dxa"/>
            <w:vAlign w:val="center"/>
          </w:tcPr>
          <w:p w:rsidR="00B373D7" w:rsidRPr="00102F58" w:rsidRDefault="00B373D7" w:rsidP="00DE52BF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частная</w:t>
            </w:r>
          </w:p>
        </w:tc>
      </w:tr>
      <w:tr w:rsidR="00B373D7" w:rsidRPr="00797BD0" w:rsidTr="00102F58">
        <w:tc>
          <w:tcPr>
            <w:tcW w:w="426" w:type="dxa"/>
            <w:vMerge/>
            <w:vAlign w:val="center"/>
          </w:tcPr>
          <w:p w:rsidR="00B373D7" w:rsidRPr="00B373D7" w:rsidRDefault="00B373D7" w:rsidP="00B373D7">
            <w:pPr>
              <w:spacing w:line="216" w:lineRule="auto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B373D7" w:rsidRPr="00B373D7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Участок транспортирования опасных веществ</w:t>
            </w:r>
          </w:p>
        </w:tc>
        <w:tc>
          <w:tcPr>
            <w:tcW w:w="2381" w:type="dxa"/>
            <w:vMerge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ХОО</w:t>
            </w:r>
          </w:p>
        </w:tc>
        <w:tc>
          <w:tcPr>
            <w:tcW w:w="1730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частная</w:t>
            </w:r>
          </w:p>
        </w:tc>
      </w:tr>
      <w:tr w:rsidR="00B373D7" w:rsidRPr="00797BD0" w:rsidTr="00102F58">
        <w:tc>
          <w:tcPr>
            <w:tcW w:w="426" w:type="dxa"/>
            <w:vMerge/>
            <w:vAlign w:val="center"/>
          </w:tcPr>
          <w:p w:rsidR="00B373D7" w:rsidRPr="00B373D7" w:rsidRDefault="00B373D7" w:rsidP="00B373D7">
            <w:pPr>
              <w:spacing w:line="216" w:lineRule="auto"/>
              <w:ind w:left="3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Участок по производству цинка</w:t>
            </w:r>
          </w:p>
        </w:tc>
        <w:tc>
          <w:tcPr>
            <w:tcW w:w="2381" w:type="dxa"/>
            <w:vMerge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ХОО</w:t>
            </w:r>
          </w:p>
        </w:tc>
        <w:tc>
          <w:tcPr>
            <w:tcW w:w="1730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частная</w:t>
            </w:r>
          </w:p>
        </w:tc>
      </w:tr>
      <w:tr w:rsidR="00B373D7" w:rsidRPr="00797BD0" w:rsidTr="003C7A51">
        <w:trPr>
          <w:trHeight w:val="1304"/>
        </w:trPr>
        <w:tc>
          <w:tcPr>
            <w:tcW w:w="426" w:type="dxa"/>
            <w:vAlign w:val="center"/>
          </w:tcPr>
          <w:p w:rsidR="00B373D7" w:rsidRPr="00797BD0" w:rsidRDefault="00B373D7" w:rsidP="00B373D7">
            <w:pPr>
              <w:pStyle w:val="a4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АО «Транснефть-Урал»</w:t>
            </w:r>
          </w:p>
        </w:tc>
        <w:tc>
          <w:tcPr>
            <w:tcW w:w="212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 xml:space="preserve">Республика Башкортостан, </w:t>
            </w:r>
            <w:r w:rsidRPr="00102F58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г. Уфа, </w:t>
            </w:r>
            <w:r w:rsidRPr="00102F58">
              <w:rPr>
                <w:rFonts w:ascii="Times New Roman" w:hAnsi="Times New Roman" w:cs="Times New Roman"/>
                <w:sz w:val="21"/>
                <w:szCs w:val="21"/>
              </w:rPr>
              <w:br/>
              <w:t>ул. Крупской, 10</w:t>
            </w:r>
          </w:p>
        </w:tc>
        <w:tc>
          <w:tcPr>
            <w:tcW w:w="2439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Места пересечения трассы магистрального нефтепровода, продуктопровода </w:t>
            </w:r>
            <w:r w:rsidR="00CB3597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 железнодорожными путями и автодорогами</w:t>
            </w:r>
          </w:p>
        </w:tc>
        <w:tc>
          <w:tcPr>
            <w:tcW w:w="2381" w:type="dxa"/>
            <w:vAlign w:val="center"/>
          </w:tcPr>
          <w:p w:rsidR="00B373D7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Исаково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Новосинеглазовский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а также участки магистральных нефтепроводов, продуктопроводов ЛПДС «Челябинск» </w:t>
            </w:r>
          </w:p>
        </w:tc>
        <w:tc>
          <w:tcPr>
            <w:tcW w:w="1275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ОПО</w:t>
            </w:r>
          </w:p>
        </w:tc>
        <w:tc>
          <w:tcPr>
            <w:tcW w:w="1730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частная</w:t>
            </w:r>
          </w:p>
        </w:tc>
      </w:tr>
      <w:tr w:rsidR="00B373D7" w:rsidRPr="00797BD0" w:rsidTr="00102F58">
        <w:tc>
          <w:tcPr>
            <w:tcW w:w="426" w:type="dxa"/>
            <w:vAlign w:val="center"/>
          </w:tcPr>
          <w:p w:rsidR="00B373D7" w:rsidRPr="00797BD0" w:rsidRDefault="00B373D7" w:rsidP="00B373D7">
            <w:pPr>
              <w:pStyle w:val="a4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ООО «Номинал-Ойл»</w:t>
            </w:r>
          </w:p>
        </w:tc>
        <w:tc>
          <w:tcPr>
            <w:tcW w:w="212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г. Челябинск, ул. Луценко, д.12, оф.5</w:t>
            </w:r>
          </w:p>
        </w:tc>
        <w:tc>
          <w:tcPr>
            <w:tcW w:w="2439" w:type="dxa"/>
            <w:vAlign w:val="center"/>
          </w:tcPr>
          <w:p w:rsidR="00B373D7" w:rsidRPr="00102F58" w:rsidRDefault="00B373D7" w:rsidP="00B373D7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Станция газонаполнительная</w:t>
            </w:r>
          </w:p>
        </w:tc>
        <w:tc>
          <w:tcPr>
            <w:tcW w:w="2381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 xml:space="preserve">г. Челябинск, ул. </w:t>
            </w:r>
            <w:proofErr w:type="spellStart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Нефтебазовая</w:t>
            </w:r>
            <w:proofErr w:type="spellEnd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, 9В</w:t>
            </w:r>
          </w:p>
        </w:tc>
        <w:tc>
          <w:tcPr>
            <w:tcW w:w="1275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ОПО</w:t>
            </w:r>
          </w:p>
        </w:tc>
        <w:tc>
          <w:tcPr>
            <w:tcW w:w="1730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частная</w:t>
            </w:r>
          </w:p>
        </w:tc>
      </w:tr>
      <w:tr w:rsidR="00B373D7" w:rsidRPr="00797BD0" w:rsidTr="00102F58">
        <w:tc>
          <w:tcPr>
            <w:tcW w:w="426" w:type="dxa"/>
            <w:vAlign w:val="center"/>
          </w:tcPr>
          <w:p w:rsidR="00B373D7" w:rsidRPr="00797BD0" w:rsidRDefault="00B373D7" w:rsidP="00B373D7">
            <w:pPr>
              <w:pStyle w:val="a4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АО «Сигнал»</w:t>
            </w:r>
          </w:p>
        </w:tc>
        <w:tc>
          <w:tcPr>
            <w:tcW w:w="212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г. Челябинск, ул. Новороссийская, 2</w:t>
            </w:r>
          </w:p>
        </w:tc>
        <w:tc>
          <w:tcPr>
            <w:tcW w:w="2439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Участок изготовления боеприпасов и пиротехнических изделий</w:t>
            </w:r>
          </w:p>
        </w:tc>
        <w:tc>
          <w:tcPr>
            <w:tcW w:w="2381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г. Челябинск, ул. Новороссийская, 2</w:t>
            </w:r>
          </w:p>
        </w:tc>
        <w:tc>
          <w:tcPr>
            <w:tcW w:w="1275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ОПО</w:t>
            </w:r>
          </w:p>
        </w:tc>
        <w:tc>
          <w:tcPr>
            <w:tcW w:w="1730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частная</w:t>
            </w:r>
          </w:p>
        </w:tc>
      </w:tr>
      <w:tr w:rsidR="00B373D7" w:rsidRPr="00797BD0" w:rsidTr="00102F58">
        <w:tc>
          <w:tcPr>
            <w:tcW w:w="426" w:type="dxa"/>
            <w:vAlign w:val="center"/>
          </w:tcPr>
          <w:p w:rsidR="00B373D7" w:rsidRPr="00797BD0" w:rsidRDefault="00B373D7" w:rsidP="00B373D7">
            <w:pPr>
              <w:pStyle w:val="a4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ООО «</w:t>
            </w:r>
            <w:proofErr w:type="spellStart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Новатэк</w:t>
            </w:r>
            <w:proofErr w:type="spellEnd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Автозаправочные комплексы</w:t>
            </w:r>
          </w:p>
        </w:tc>
        <w:tc>
          <w:tcPr>
            <w:tcW w:w="212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г. Челябинск, ул. Курчатова, 6</w:t>
            </w:r>
          </w:p>
        </w:tc>
        <w:tc>
          <w:tcPr>
            <w:tcW w:w="2439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База хранения 2/74</w:t>
            </w:r>
          </w:p>
        </w:tc>
        <w:tc>
          <w:tcPr>
            <w:tcW w:w="2381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г. Челябинск, ул. Верстовая</w:t>
            </w:r>
          </w:p>
        </w:tc>
        <w:tc>
          <w:tcPr>
            <w:tcW w:w="1275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ОПО</w:t>
            </w:r>
          </w:p>
        </w:tc>
        <w:tc>
          <w:tcPr>
            <w:tcW w:w="1730" w:type="dxa"/>
            <w:vAlign w:val="center"/>
          </w:tcPr>
          <w:p w:rsidR="00B373D7" w:rsidRPr="00102F58" w:rsidRDefault="00B373D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частная</w:t>
            </w:r>
          </w:p>
        </w:tc>
      </w:tr>
      <w:tr w:rsidR="00CB3597" w:rsidRPr="00797BD0" w:rsidTr="00CB3597">
        <w:tc>
          <w:tcPr>
            <w:tcW w:w="426" w:type="dxa"/>
            <w:vMerge w:val="restart"/>
            <w:vAlign w:val="center"/>
          </w:tcPr>
          <w:p w:rsidR="00CB3597" w:rsidRPr="00797BD0" w:rsidRDefault="00CB3597" w:rsidP="00B373D7">
            <w:pPr>
              <w:pStyle w:val="a4"/>
              <w:numPr>
                <w:ilvl w:val="0"/>
                <w:numId w:val="1"/>
              </w:numPr>
              <w:spacing w:line="216" w:lineRule="auto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CB3597" w:rsidRPr="00102F58" w:rsidRDefault="00CB359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ООО «Челябинский завод по производству коксохимической продукции»</w:t>
            </w:r>
          </w:p>
        </w:tc>
        <w:tc>
          <w:tcPr>
            <w:tcW w:w="2126" w:type="dxa"/>
            <w:vMerge w:val="restart"/>
            <w:vAlign w:val="center"/>
          </w:tcPr>
          <w:p w:rsidR="00CB3597" w:rsidRPr="00102F58" w:rsidRDefault="00CB359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г. Челябинск, ул. 2-я Павелецкая, 14</w:t>
            </w:r>
          </w:p>
        </w:tc>
        <w:tc>
          <w:tcPr>
            <w:tcW w:w="2439" w:type="dxa"/>
            <w:vAlign w:val="center"/>
          </w:tcPr>
          <w:p w:rsidR="00CB3597" w:rsidRPr="00102F58" w:rsidRDefault="00CB359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Бензольно</w:t>
            </w:r>
            <w:proofErr w:type="spellEnd"/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-ректификационный цех (БРЦ)</w:t>
            </w:r>
          </w:p>
        </w:tc>
        <w:tc>
          <w:tcPr>
            <w:tcW w:w="2381" w:type="dxa"/>
            <w:vMerge w:val="restart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Северо-восточная часть</w:t>
            </w:r>
          </w:p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г. Челябинска</w:t>
            </w:r>
          </w:p>
        </w:tc>
        <w:tc>
          <w:tcPr>
            <w:tcW w:w="1275" w:type="dxa"/>
            <w:vAlign w:val="center"/>
          </w:tcPr>
          <w:p w:rsidR="00CB3597" w:rsidRPr="00102F58" w:rsidRDefault="00CB359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CB3597" w:rsidRPr="00102F58" w:rsidRDefault="00CB359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ОПО</w:t>
            </w:r>
          </w:p>
        </w:tc>
        <w:tc>
          <w:tcPr>
            <w:tcW w:w="1730" w:type="dxa"/>
            <w:vAlign w:val="center"/>
          </w:tcPr>
          <w:p w:rsidR="00CB3597" w:rsidRPr="00102F58" w:rsidRDefault="00CB3597" w:rsidP="00B373D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частная</w:t>
            </w:r>
          </w:p>
        </w:tc>
      </w:tr>
      <w:tr w:rsidR="00CB3597" w:rsidRPr="00797BD0" w:rsidTr="00102F58">
        <w:tc>
          <w:tcPr>
            <w:tcW w:w="426" w:type="dxa"/>
            <w:vMerge/>
            <w:vAlign w:val="center"/>
          </w:tcPr>
          <w:p w:rsidR="00CB3597" w:rsidRPr="00CB3597" w:rsidRDefault="00CB3597" w:rsidP="00CB3597">
            <w:pPr>
              <w:spacing w:line="216" w:lineRule="auto"/>
              <w:ind w:left="28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Участок кислотного хозяйства серной кислоты №2</w:t>
            </w:r>
          </w:p>
        </w:tc>
        <w:tc>
          <w:tcPr>
            <w:tcW w:w="2381" w:type="dxa"/>
            <w:vMerge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ОПО</w:t>
            </w:r>
          </w:p>
        </w:tc>
        <w:tc>
          <w:tcPr>
            <w:tcW w:w="1730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частная</w:t>
            </w:r>
          </w:p>
        </w:tc>
      </w:tr>
      <w:tr w:rsidR="00CB3597" w:rsidRPr="00797BD0" w:rsidTr="00102F58">
        <w:tc>
          <w:tcPr>
            <w:tcW w:w="426" w:type="dxa"/>
            <w:vMerge/>
            <w:vAlign w:val="center"/>
          </w:tcPr>
          <w:p w:rsidR="00CB3597" w:rsidRPr="00CB3597" w:rsidRDefault="00CB3597" w:rsidP="00CB3597">
            <w:pPr>
              <w:spacing w:line="216" w:lineRule="auto"/>
              <w:ind w:left="28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Участок кислотного хозяйства серной кислоты № 1</w:t>
            </w:r>
          </w:p>
        </w:tc>
        <w:tc>
          <w:tcPr>
            <w:tcW w:w="2381" w:type="dxa"/>
            <w:vMerge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ОПО</w:t>
            </w:r>
          </w:p>
        </w:tc>
        <w:tc>
          <w:tcPr>
            <w:tcW w:w="1730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частная</w:t>
            </w:r>
          </w:p>
        </w:tc>
      </w:tr>
      <w:tr w:rsidR="00CB3597" w:rsidRPr="00797BD0" w:rsidTr="00102F58">
        <w:tc>
          <w:tcPr>
            <w:tcW w:w="426" w:type="dxa"/>
            <w:vMerge/>
            <w:vAlign w:val="center"/>
          </w:tcPr>
          <w:p w:rsidR="00CB3597" w:rsidRPr="00CB3597" w:rsidRDefault="00CB3597" w:rsidP="00CB3597">
            <w:pPr>
              <w:spacing w:line="216" w:lineRule="auto"/>
              <w:ind w:left="28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Цех улавливания химических продуктов № 2 (УЛ-2)</w:t>
            </w:r>
          </w:p>
        </w:tc>
        <w:tc>
          <w:tcPr>
            <w:tcW w:w="2381" w:type="dxa"/>
            <w:vMerge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ОПО</w:t>
            </w:r>
          </w:p>
        </w:tc>
        <w:tc>
          <w:tcPr>
            <w:tcW w:w="1730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частная</w:t>
            </w:r>
          </w:p>
        </w:tc>
      </w:tr>
      <w:tr w:rsidR="00CB3597" w:rsidRPr="00797BD0" w:rsidTr="00102F58">
        <w:tc>
          <w:tcPr>
            <w:tcW w:w="426" w:type="dxa"/>
            <w:vMerge/>
            <w:vAlign w:val="center"/>
          </w:tcPr>
          <w:p w:rsidR="00CB3597" w:rsidRPr="00CB3597" w:rsidRDefault="00CB3597" w:rsidP="00CB3597">
            <w:pPr>
              <w:spacing w:line="216" w:lineRule="auto"/>
              <w:ind w:left="28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39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Цех улавливания химических продуктов № 1 (УЛ-1)</w:t>
            </w:r>
          </w:p>
        </w:tc>
        <w:tc>
          <w:tcPr>
            <w:tcW w:w="2381" w:type="dxa"/>
            <w:vMerge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ОПО</w:t>
            </w:r>
          </w:p>
        </w:tc>
        <w:tc>
          <w:tcPr>
            <w:tcW w:w="1730" w:type="dxa"/>
            <w:vAlign w:val="center"/>
          </w:tcPr>
          <w:p w:rsidR="00CB3597" w:rsidRPr="00102F58" w:rsidRDefault="00CB3597" w:rsidP="00CB3597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2F58">
              <w:rPr>
                <w:rFonts w:ascii="Times New Roman" w:hAnsi="Times New Roman" w:cs="Times New Roman"/>
                <w:sz w:val="21"/>
                <w:szCs w:val="21"/>
              </w:rPr>
              <w:t>частная</w:t>
            </w:r>
          </w:p>
        </w:tc>
      </w:tr>
    </w:tbl>
    <w:p w:rsidR="007761CF" w:rsidRDefault="007761CF" w:rsidP="00776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597" w:rsidRDefault="00CB3597" w:rsidP="00776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2BF" w:rsidRDefault="00DE52BF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  <w:r w:rsidRPr="00404CB6">
        <w:rPr>
          <w:rFonts w:ascii="Times New Roman" w:hAnsi="Times New Roman" w:cs="Times New Roman"/>
          <w:b/>
          <w:bCs/>
        </w:rPr>
        <w:t xml:space="preserve">* Перечень организаций, расположенный на территории Челябинской области, на объектах которых должны создаваться локальные системы оповещения, утвержден решением рабочей группы комиссии </w:t>
      </w:r>
      <w:r w:rsidR="00404CB6" w:rsidRPr="00404CB6">
        <w:rPr>
          <w:rFonts w:ascii="Times New Roman" w:hAnsi="Times New Roman" w:cs="Times New Roman"/>
          <w:b/>
          <w:bCs/>
        </w:rPr>
        <w:t xml:space="preserve">по </w:t>
      </w:r>
      <w:r w:rsidR="00404CB6" w:rsidRPr="00404CB6">
        <w:rPr>
          <w:rStyle w:val="a5"/>
          <w:rFonts w:ascii="Times New Roman" w:hAnsi="Times New Roman" w:cs="Times New Roman"/>
          <w:shd w:val="clear" w:color="auto" w:fill="FFFFFF"/>
        </w:rPr>
        <w:t xml:space="preserve">предупреждению и ликвидации чрезвычайных ситуаций и обеспечению пожарной безопасности от </w:t>
      </w:r>
      <w:r w:rsidR="00CB3597">
        <w:rPr>
          <w:rStyle w:val="a5"/>
          <w:rFonts w:ascii="Times New Roman" w:hAnsi="Times New Roman" w:cs="Times New Roman"/>
          <w:shd w:val="clear" w:color="auto" w:fill="FFFFFF"/>
        </w:rPr>
        <w:t>15</w:t>
      </w:r>
      <w:r w:rsidR="00404CB6" w:rsidRPr="00404CB6">
        <w:rPr>
          <w:rStyle w:val="a5"/>
          <w:rFonts w:ascii="Times New Roman" w:hAnsi="Times New Roman" w:cs="Times New Roman"/>
          <w:shd w:val="clear" w:color="auto" w:fill="FFFFFF"/>
        </w:rPr>
        <w:t>.06.202</w:t>
      </w:r>
      <w:r w:rsidR="00CB3597">
        <w:rPr>
          <w:rStyle w:val="a5"/>
          <w:rFonts w:ascii="Times New Roman" w:hAnsi="Times New Roman" w:cs="Times New Roman"/>
          <w:shd w:val="clear" w:color="auto" w:fill="FFFFFF"/>
        </w:rPr>
        <w:t>6</w:t>
      </w:r>
      <w:r w:rsidR="00404CB6" w:rsidRPr="00404CB6">
        <w:rPr>
          <w:rStyle w:val="a5"/>
          <w:rFonts w:ascii="Times New Roman" w:hAnsi="Times New Roman" w:cs="Times New Roman"/>
          <w:shd w:val="clear" w:color="auto" w:fill="FFFFFF"/>
        </w:rPr>
        <w:t xml:space="preserve"> № 2</w:t>
      </w:r>
      <w:r w:rsidR="00256586">
        <w:rPr>
          <w:rStyle w:val="a5"/>
          <w:rFonts w:ascii="Times New Roman" w:hAnsi="Times New Roman" w:cs="Times New Roman"/>
          <w:shd w:val="clear" w:color="auto" w:fill="FFFFFF"/>
        </w:rPr>
        <w:t>8</w:t>
      </w:r>
      <w:r w:rsidR="00404CB6" w:rsidRPr="00404CB6">
        <w:rPr>
          <w:rStyle w:val="a5"/>
          <w:rFonts w:ascii="Times New Roman" w:hAnsi="Times New Roman" w:cs="Times New Roman"/>
          <w:shd w:val="clear" w:color="auto" w:fill="FFFFFF"/>
        </w:rPr>
        <w:t>-202</w:t>
      </w:r>
      <w:r w:rsidR="00CB3597">
        <w:rPr>
          <w:rStyle w:val="a5"/>
          <w:rFonts w:ascii="Times New Roman" w:hAnsi="Times New Roman" w:cs="Times New Roman"/>
          <w:shd w:val="clear" w:color="auto" w:fill="FFFFFF"/>
        </w:rPr>
        <w:t>6</w:t>
      </w:r>
    </w:p>
    <w:p w:rsidR="001F4F7F" w:rsidRDefault="001F4F7F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1F4F7F" w:rsidRDefault="001F4F7F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1F4F7F" w:rsidRDefault="001F4F7F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p w:rsidR="00CB3597" w:rsidRDefault="00CB3597" w:rsidP="00404CB6">
      <w:pPr>
        <w:spacing w:after="0" w:line="240" w:lineRule="auto"/>
        <w:ind w:right="-314"/>
        <w:jc w:val="both"/>
        <w:rPr>
          <w:rStyle w:val="a5"/>
          <w:rFonts w:ascii="Times New Roman" w:hAnsi="Times New Roman" w:cs="Times New Roman"/>
          <w:shd w:val="clear" w:color="auto" w:fill="FFFFFF"/>
        </w:rPr>
      </w:pPr>
    </w:p>
    <w:sectPr w:rsidR="00CB3597" w:rsidSect="00DE52B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67F5B"/>
    <w:multiLevelType w:val="hybridMultilevel"/>
    <w:tmpl w:val="526674B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AF"/>
    <w:rsid w:val="000F40C2"/>
    <w:rsid w:val="00102F58"/>
    <w:rsid w:val="00123144"/>
    <w:rsid w:val="001233AF"/>
    <w:rsid w:val="00131A80"/>
    <w:rsid w:val="001536BD"/>
    <w:rsid w:val="001A28D7"/>
    <w:rsid w:val="001F4F7F"/>
    <w:rsid w:val="00256586"/>
    <w:rsid w:val="00387805"/>
    <w:rsid w:val="00404CB6"/>
    <w:rsid w:val="004159F7"/>
    <w:rsid w:val="007761CF"/>
    <w:rsid w:val="00797BD0"/>
    <w:rsid w:val="009D21A5"/>
    <w:rsid w:val="00B1537F"/>
    <w:rsid w:val="00B1754D"/>
    <w:rsid w:val="00B26BFB"/>
    <w:rsid w:val="00B373D7"/>
    <w:rsid w:val="00B873AE"/>
    <w:rsid w:val="00C37386"/>
    <w:rsid w:val="00CB3597"/>
    <w:rsid w:val="00D00FDC"/>
    <w:rsid w:val="00D02E94"/>
    <w:rsid w:val="00D21100"/>
    <w:rsid w:val="00D21BD6"/>
    <w:rsid w:val="00D5355A"/>
    <w:rsid w:val="00DE52BF"/>
    <w:rsid w:val="00DF059B"/>
    <w:rsid w:val="00E360F8"/>
    <w:rsid w:val="00F16765"/>
    <w:rsid w:val="00F4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F662"/>
  <w15:docId w15:val="{EDBF16D6-0532-457B-927E-805430DD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61CF"/>
    <w:pPr>
      <w:ind w:left="720"/>
      <w:contextualSpacing/>
    </w:pPr>
  </w:style>
  <w:style w:type="character" w:styleId="a5">
    <w:name w:val="Strong"/>
    <w:basedOn w:val="a0"/>
    <w:uiPriority w:val="22"/>
    <w:qFormat/>
    <w:rsid w:val="0040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F11D-EED3-4E80-8FDC-5AE665C5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Чураев</dc:creator>
  <cp:keywords/>
  <dc:description/>
  <cp:lastModifiedBy>Заместитель начальника отдела ЧС</cp:lastModifiedBy>
  <cp:revision>4</cp:revision>
  <cp:lastPrinted>2025-10-06T08:50:00Z</cp:lastPrinted>
  <dcterms:created xsi:type="dcterms:W3CDTF">2026-06-24T02:41:00Z</dcterms:created>
  <dcterms:modified xsi:type="dcterms:W3CDTF">2026-06-24T05:21:00Z</dcterms:modified>
</cp:coreProperties>
</file>